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7A8" w:rsidRPr="00310BFF" w:rsidRDefault="00171FD4" w:rsidP="000257A8">
      <w:pPr>
        <w:pStyle w:val="Title"/>
      </w:pPr>
      <w:bookmarkStart w:id="0" w:name="_GoBack"/>
      <w:bookmarkEnd w:id="0"/>
      <w:r w:rsidRPr="000C1ED9">
        <w:t>evaluating</w:t>
      </w:r>
      <w:r>
        <w:t xml:space="preserve"> driver</w:t>
      </w:r>
      <w:r w:rsidRPr="000C1ED9">
        <w:t>s</w:t>
      </w:r>
      <w:r>
        <w:t>’</w:t>
      </w:r>
      <w:r w:rsidRPr="000C1ED9">
        <w:t xml:space="preserve"> state</w:t>
      </w:r>
      <w:r>
        <w:t>s</w:t>
      </w:r>
      <w:r w:rsidRPr="000C1ED9">
        <w:t xml:space="preserve"> in sleepiness countermeasures experiments using physiological and eye data </w:t>
      </w:r>
      <w:r>
        <w:t xml:space="preserve">- </w:t>
      </w:r>
      <w:r w:rsidR="000C1ED9" w:rsidRPr="000C1ED9">
        <w:t>Hybrid logis</w:t>
      </w:r>
      <w:r>
        <w:t>tic and linear regression model</w:t>
      </w:r>
    </w:p>
    <w:p w:rsidR="000257A8" w:rsidRPr="00310BFF" w:rsidRDefault="000257A8"/>
    <w:p w:rsidR="000257A8" w:rsidRPr="00310BFF" w:rsidRDefault="000257A8" w:rsidP="000257A8">
      <w:pPr>
        <w:ind w:left="720" w:right="720"/>
        <w:jc w:val="both"/>
      </w:pPr>
      <w:r>
        <w:rPr>
          <w:b/>
        </w:rPr>
        <w:t>Summary</w:t>
      </w:r>
      <w:r w:rsidRPr="00310BFF">
        <w:rPr>
          <w:b/>
        </w:rPr>
        <w:t>:</w:t>
      </w:r>
      <w:r w:rsidRPr="00310BFF">
        <w:t xml:space="preserve"> </w:t>
      </w:r>
      <w:r w:rsidR="0019505D">
        <w:t>Objective sleepiness evaluation is essential for the effect analysis</w:t>
      </w:r>
      <w:r w:rsidR="00BF2111">
        <w:t xml:space="preserve"> of</w:t>
      </w:r>
      <w:r w:rsidR="0019505D">
        <w:t xml:space="preserve"> countermeasures for driver sleepiness, such as in-car stimulants.</w:t>
      </w:r>
      <w:r w:rsidR="00BF2111">
        <w:t xml:space="preserve"> Furthermore, m</w:t>
      </w:r>
      <w:r w:rsidR="00835E2C">
        <w:t>easuring driver</w:t>
      </w:r>
      <w:r w:rsidR="00612C20">
        <w:t>s</w:t>
      </w:r>
      <w:r w:rsidR="00835E2C">
        <w:t>’ s</w:t>
      </w:r>
      <w:r w:rsidR="00003BA7">
        <w:t xml:space="preserve">leepiness </w:t>
      </w:r>
      <w:r w:rsidR="00835E2C">
        <w:t xml:space="preserve">in simulator studies </w:t>
      </w:r>
      <w:r w:rsidR="00BF2111">
        <w:t>also becomes important when investigating</w:t>
      </w:r>
      <w:r w:rsidR="00835E2C">
        <w:t xml:space="preserve"> causes for task-related sleepiness, such as driving on monotonous routes which require</w:t>
      </w:r>
      <w:r w:rsidR="00181D90">
        <w:t>s</w:t>
      </w:r>
      <w:r w:rsidR="00835E2C">
        <w:t xml:space="preserve"> little driver engagement</w:t>
      </w:r>
      <w:r w:rsidRPr="00310BFF">
        <w:t>.</w:t>
      </w:r>
      <w:r w:rsidR="00102F5C">
        <w:t xml:space="preserve"> To evaluate driver sleepiness and the effect of countermeasures we developed a model for predicting sleepiness using both simple logistic and linear regression</w:t>
      </w:r>
      <w:r w:rsidR="00AE2110">
        <w:t xml:space="preserve"> of heart rate variability, skin conductance and pupil diameter. The algorithm was trained and tested with data from 88 participants </w:t>
      </w:r>
      <w:r w:rsidR="0081728A">
        <w:t>in</w:t>
      </w:r>
      <w:r w:rsidR="00AE2110">
        <w:t xml:space="preserve"> driving simulator studies. A prediction accuracy of 77%</w:t>
      </w:r>
      <w:r w:rsidR="00102F5C">
        <w:t xml:space="preserve"> </w:t>
      </w:r>
      <w:r w:rsidR="00AE2110">
        <w:t xml:space="preserve">was achieved and the model’s sensitivity to thermal stimulation </w:t>
      </w:r>
      <w:r w:rsidR="00F065E6">
        <w:t>was</w:t>
      </w:r>
      <w:r w:rsidR="00AE2110">
        <w:t xml:space="preserve"> </w:t>
      </w:r>
      <w:r w:rsidR="00171FD4">
        <w:t>show</w:t>
      </w:r>
      <w:r w:rsidR="00AE2110">
        <w:t>n.</w:t>
      </w:r>
    </w:p>
    <w:p w:rsidR="000257A8" w:rsidRPr="00310BFF" w:rsidRDefault="000257A8" w:rsidP="000257A8"/>
    <w:p w:rsidR="000C1ED9" w:rsidRDefault="000C1ED9" w:rsidP="000257A8">
      <w:pPr>
        <w:pStyle w:val="Heading1"/>
      </w:pPr>
      <w:r>
        <w:t>Introduction</w:t>
      </w:r>
    </w:p>
    <w:p w:rsidR="000C1ED9" w:rsidRDefault="000C1ED9" w:rsidP="000C1ED9"/>
    <w:p w:rsidR="000C1ED9" w:rsidRDefault="000C1ED9" w:rsidP="000C1ED9">
      <w:r>
        <w:t>In the last decade</w:t>
      </w:r>
      <w:r w:rsidR="00E85963">
        <w:t>s</w:t>
      </w:r>
      <w:r>
        <w:t xml:space="preserve">, driver fatigue </w:t>
      </w:r>
      <w:r w:rsidR="003B245A">
        <w:t>theories</w:t>
      </w:r>
      <w:r>
        <w:t xml:space="preserve"> (</w:t>
      </w:r>
      <w:r w:rsidR="00100A78">
        <w:t xml:space="preserve">Lal </w:t>
      </w:r>
      <w:r w:rsidR="00171D63">
        <w:t>&amp; Craig, 2001;</w:t>
      </w:r>
      <w:r w:rsidR="00100A78">
        <w:t xml:space="preserve"> May </w:t>
      </w:r>
      <w:r w:rsidR="00171D63">
        <w:t>&amp; Baldwin</w:t>
      </w:r>
      <w:r w:rsidR="00805417">
        <w:t>,</w:t>
      </w:r>
      <w:r w:rsidR="00171D63">
        <w:t xml:space="preserve"> 2009;</w:t>
      </w:r>
      <w:r w:rsidR="00100A78">
        <w:t xml:space="preserve"> van Veen et al.</w:t>
      </w:r>
      <w:r w:rsidR="00805417">
        <w:t>,</w:t>
      </w:r>
      <w:r w:rsidR="00100A78">
        <w:t xml:space="preserve"> 2014</w:t>
      </w:r>
      <w:r>
        <w:t xml:space="preserve">) have been developed that </w:t>
      </w:r>
      <w:r w:rsidR="00E85963">
        <w:t>distinguish</w:t>
      </w:r>
      <w:r>
        <w:t xml:space="preserve"> different types of fatigue. </w:t>
      </w:r>
      <w:r w:rsidR="00B63DBA">
        <w:t xml:space="preserve">Most </w:t>
      </w:r>
      <w:r w:rsidR="003B245A">
        <w:t>theories</w:t>
      </w:r>
      <w:r>
        <w:t xml:space="preserve"> differentiate </w:t>
      </w:r>
      <w:r w:rsidR="00B63DBA">
        <w:t>task-related</w:t>
      </w:r>
      <w:r>
        <w:t xml:space="preserve"> </w:t>
      </w:r>
      <w:r w:rsidR="00ED7259">
        <w:t xml:space="preserve">(TR) </w:t>
      </w:r>
      <w:r w:rsidR="00B63DBA">
        <w:t xml:space="preserve">and sleep-related </w:t>
      </w:r>
      <w:r w:rsidR="00ED7259">
        <w:t xml:space="preserve">(SR) </w:t>
      </w:r>
      <w:r>
        <w:t xml:space="preserve">fatigue. </w:t>
      </w:r>
      <w:r w:rsidR="00B63DBA">
        <w:t>T</w:t>
      </w:r>
      <w:r w:rsidR="00ED7259">
        <w:t xml:space="preserve">R </w:t>
      </w:r>
      <w:r w:rsidR="00B63DBA">
        <w:t xml:space="preserve">fatigue can be due </w:t>
      </w:r>
      <w:r w:rsidR="009478FD">
        <w:t xml:space="preserve">to </w:t>
      </w:r>
      <w:r w:rsidR="00B63DBA">
        <w:t xml:space="preserve">task overload or underload. The latter one is also referred to as cognitive sleepiness. </w:t>
      </w:r>
      <w:r>
        <w:t xml:space="preserve">This differentiation becomes important when considering countermeasures of driver fatigue. The </w:t>
      </w:r>
      <w:r w:rsidR="00BC3439">
        <w:t>literature</w:t>
      </w:r>
      <w:r>
        <w:t xml:space="preserve"> </w:t>
      </w:r>
      <w:r w:rsidR="0098796F">
        <w:t>r</w:t>
      </w:r>
      <w:r w:rsidR="00E85963">
        <w:t>eviews</w:t>
      </w:r>
      <w:r>
        <w:t xml:space="preserve"> of </w:t>
      </w:r>
      <w:r w:rsidR="0098796F">
        <w:t>May &amp; Baldwin (2009) and v</w:t>
      </w:r>
      <w:r>
        <w:t>an Veen</w:t>
      </w:r>
      <w:r w:rsidR="0072565F">
        <w:t xml:space="preserve"> et al. (2014</w:t>
      </w:r>
      <w:r w:rsidR="0098796F">
        <w:t>)</w:t>
      </w:r>
      <w:r>
        <w:t xml:space="preserve"> propose </w:t>
      </w:r>
      <w:r w:rsidR="00F065E6">
        <w:t>various</w:t>
      </w:r>
      <w:r w:rsidR="00ED7259">
        <w:t xml:space="preserve"> </w:t>
      </w:r>
      <w:r>
        <w:t>countermeasures</w:t>
      </w:r>
      <w:r w:rsidR="00B63DBA">
        <w:t xml:space="preserve"> for different </w:t>
      </w:r>
      <w:r w:rsidR="00ED7259">
        <w:t>fatigue types</w:t>
      </w:r>
      <w:r>
        <w:t>.</w:t>
      </w:r>
      <w:r w:rsidR="00B63DBA">
        <w:t xml:space="preserve"> </w:t>
      </w:r>
      <w:r w:rsidR="0072565F">
        <w:t xml:space="preserve">In the case of </w:t>
      </w:r>
      <w:r w:rsidR="00ED7259">
        <w:t>TR fatigue</w:t>
      </w:r>
      <w:r w:rsidR="0072565F">
        <w:t xml:space="preserve"> due to monotony, </w:t>
      </w:r>
      <w:r w:rsidR="001D787E">
        <w:t xml:space="preserve">counter- </w:t>
      </w:r>
      <w:r w:rsidR="00F065E6">
        <w:t>measures include</w:t>
      </w:r>
      <w:r w:rsidR="0081728A">
        <w:t xml:space="preserve"> </w:t>
      </w:r>
      <w:r w:rsidR="0072565F">
        <w:t>a variety of in-car stimulation</w:t>
      </w:r>
      <w:r w:rsidR="0088084F">
        <w:t xml:space="preserve">, whereas </w:t>
      </w:r>
      <w:r w:rsidR="00ED7259">
        <w:t>SR</w:t>
      </w:r>
      <w:r w:rsidR="0088084F">
        <w:t xml:space="preserve"> fatigue is intervention-resistant (van Veen et al., 2014)</w:t>
      </w:r>
      <w:r w:rsidR="0072565F">
        <w:t xml:space="preserve">. </w:t>
      </w:r>
      <w:r>
        <w:t>To increase traffic safety and driving comfort</w:t>
      </w:r>
      <w:r w:rsidR="0072565F">
        <w:t>,</w:t>
      </w:r>
      <w:r>
        <w:t xml:space="preserve"> </w:t>
      </w:r>
      <w:r w:rsidR="00B63DBA">
        <w:t>studies have been conducted</w:t>
      </w:r>
      <w:r w:rsidR="00ED7259">
        <w:t xml:space="preserve"> investigating </w:t>
      </w:r>
      <w:r w:rsidR="009776BA">
        <w:t>these</w:t>
      </w:r>
      <w:r>
        <w:t xml:space="preserve"> countermeasures (</w:t>
      </w:r>
      <w:r w:rsidR="00B63DBA">
        <w:t>Des</w:t>
      </w:r>
      <w:r w:rsidR="00814F6F">
        <w:t xml:space="preserve">mond &amp; Matthews, 1997; </w:t>
      </w:r>
      <w:r w:rsidR="00100A78">
        <w:t>v</w:t>
      </w:r>
      <w:r>
        <w:t>an Veen</w:t>
      </w:r>
      <w:r w:rsidR="00171D63">
        <w:t>,</w:t>
      </w:r>
      <w:r w:rsidR="00100A78">
        <w:t xml:space="preserve"> 2016</w:t>
      </w:r>
      <w:r>
        <w:t>).</w:t>
      </w:r>
      <w:r w:rsidR="0072565F">
        <w:t xml:space="preserve"> </w:t>
      </w:r>
      <w:r>
        <w:t xml:space="preserve"> </w:t>
      </w:r>
    </w:p>
    <w:p w:rsidR="00100A78" w:rsidRDefault="00100A78" w:rsidP="000C1ED9"/>
    <w:p w:rsidR="005E4228" w:rsidRDefault="000C1ED9" w:rsidP="000C1ED9">
      <w:r>
        <w:t xml:space="preserve">When investigating driver sleepiness </w:t>
      </w:r>
      <w:r w:rsidR="00100A78">
        <w:t xml:space="preserve">and the effect of different stimuli in experimental settings, </w:t>
      </w:r>
      <w:r w:rsidR="009776BA">
        <w:t>a</w:t>
      </w:r>
      <w:r w:rsidR="00E85963">
        <w:t xml:space="preserve"> tool</w:t>
      </w:r>
      <w:r>
        <w:t xml:space="preserve"> for measuring sleepiness are subjective questionnaires (e.g. Karolinska Sleepiness Scale</w:t>
      </w:r>
      <w:r w:rsidR="00743F90">
        <w:t>, KSS</w:t>
      </w:r>
      <w:r w:rsidR="008A0EBC">
        <w:t>)</w:t>
      </w:r>
      <w:r>
        <w:t>.</w:t>
      </w:r>
      <w:r w:rsidR="008A0EBC">
        <w:t xml:space="preserve"> However</w:t>
      </w:r>
      <w:r>
        <w:t>, questionnaires can only be asked at discrete times, preventing a continuous anal</w:t>
      </w:r>
      <w:r w:rsidR="00E85963">
        <w:t xml:space="preserve">ysis of sleepiness. Second, </w:t>
      </w:r>
      <w:r>
        <w:t>listening and answering questionnaires has an awakening effect on the driver which is often un</w:t>
      </w:r>
      <w:r w:rsidR="009776BA">
        <w:t>desirable</w:t>
      </w:r>
      <w:r>
        <w:t xml:space="preserve"> in driver sleepiness research</w:t>
      </w:r>
      <w:r w:rsidR="008A0EBC">
        <w:t>.</w:t>
      </w:r>
    </w:p>
    <w:p w:rsidR="00E85963" w:rsidRDefault="00E85963" w:rsidP="000C1ED9"/>
    <w:p w:rsidR="0099642E" w:rsidRDefault="00E85963" w:rsidP="000C1ED9">
      <w:r>
        <w:t>A different tool for measuring sleepiness</w:t>
      </w:r>
      <w:r w:rsidR="0072565F">
        <w:t xml:space="preserve"> can be classification algorithms. </w:t>
      </w:r>
      <w:r w:rsidR="000C73D0">
        <w:t>Patel et al. (2011) for example describe a neural network classifying sleepiness with 90% accuracy based on drivers’ ECG (</w:t>
      </w:r>
      <w:r w:rsidR="00695159">
        <w:t>e</w:t>
      </w:r>
      <w:r w:rsidR="00695159" w:rsidRPr="00264D94">
        <w:t>lectrocardiogram</w:t>
      </w:r>
      <w:r w:rsidR="000C73D0">
        <w:t>)</w:t>
      </w:r>
      <w:r w:rsidR="003B245A">
        <w:t xml:space="preserve"> data</w:t>
      </w:r>
      <w:r w:rsidR="000C73D0">
        <w:t xml:space="preserve">. Friedrichs &amp; Yang (2010) and Hu &amp; Zheng (2009) report </w:t>
      </w:r>
      <w:r w:rsidR="003B245A">
        <w:t xml:space="preserve">accuracies of 83% when differentiating three degrees of sleepiness based on eye features. These algorithms have been developed using data from sleep-deprived drivers, hence </w:t>
      </w:r>
      <w:r w:rsidR="0099642E">
        <w:t>these are detecting</w:t>
      </w:r>
      <w:r w:rsidR="003B245A">
        <w:t xml:space="preserve"> </w:t>
      </w:r>
      <w:r w:rsidR="00695159">
        <w:t>SR</w:t>
      </w:r>
      <w:r w:rsidR="00B8402E">
        <w:t xml:space="preserve"> fatigue. The model</w:t>
      </w:r>
      <w:r w:rsidR="003B245A">
        <w:t xml:space="preserve"> of Igasaki et al. (2015) use</w:t>
      </w:r>
      <w:r w:rsidR="00B8402E">
        <w:t>s</w:t>
      </w:r>
      <w:r w:rsidR="003B245A">
        <w:t xml:space="preserve"> data of non-sleep deprived drivers. </w:t>
      </w:r>
      <w:r w:rsidR="0099642E">
        <w:t>The</w:t>
      </w:r>
      <w:r w:rsidR="00B8402E">
        <w:t>ir</w:t>
      </w:r>
      <w:r w:rsidR="0099642E">
        <w:t xml:space="preserve"> logistic regression based on </w:t>
      </w:r>
      <w:r w:rsidR="0099642E" w:rsidRPr="00264D94">
        <w:t>heart rate variability (HRV)</w:t>
      </w:r>
      <w:r w:rsidR="0099642E">
        <w:t xml:space="preserve"> measures and respiratory features </w:t>
      </w:r>
      <w:r w:rsidR="00B8402E">
        <w:t>yields 81% detection accuracy, however it was only generated with data from</w:t>
      </w:r>
      <w:r w:rsidR="0099642E">
        <w:t xml:space="preserve"> eight male drivers.</w:t>
      </w:r>
      <w:r w:rsidR="0099642E" w:rsidRPr="0099642E">
        <w:t xml:space="preserve"> </w:t>
      </w:r>
      <w:r w:rsidR="0099642E">
        <w:t xml:space="preserve">None of the above </w:t>
      </w:r>
      <w:r w:rsidR="0088084F">
        <w:t>studie</w:t>
      </w:r>
      <w:r w:rsidR="0099642E">
        <w:t>s</w:t>
      </w:r>
      <w:r w:rsidR="0088084F">
        <w:t xml:space="preserve"> attempted to model sensitivity to in-car sleepiness countermeasures.</w:t>
      </w:r>
    </w:p>
    <w:p w:rsidR="00181D90" w:rsidRDefault="00181D90" w:rsidP="000C1ED9"/>
    <w:p w:rsidR="000C1ED9" w:rsidRDefault="00BB17BB" w:rsidP="000C1ED9">
      <w:r>
        <w:t>W</w:t>
      </w:r>
      <w:r w:rsidR="000C1ED9">
        <w:t>e propo</w:t>
      </w:r>
      <w:r>
        <w:t xml:space="preserve">se an algorithm that can be used as a tool for </w:t>
      </w:r>
      <w:r w:rsidR="005E4228">
        <w:t xml:space="preserve">continuously </w:t>
      </w:r>
      <w:r>
        <w:t xml:space="preserve">evaluating driver sleepiness in simulator </w:t>
      </w:r>
      <w:r w:rsidR="00ED7259">
        <w:t>studie</w:t>
      </w:r>
      <w:r>
        <w:t xml:space="preserve">s with focus on </w:t>
      </w:r>
      <w:r w:rsidR="00695159">
        <w:t>TR</w:t>
      </w:r>
      <w:r w:rsidR="0088084F">
        <w:t xml:space="preserve"> sleepiness</w:t>
      </w:r>
      <w:r>
        <w:t xml:space="preserve"> caused by monoton</w:t>
      </w:r>
      <w:r w:rsidR="008A0EBC">
        <w:t>ous driving</w:t>
      </w:r>
      <w:r>
        <w:t>.</w:t>
      </w:r>
      <w:r w:rsidR="005E4228">
        <w:t xml:space="preserve"> </w:t>
      </w:r>
      <w:r w:rsidR="000C1ED9">
        <w:t xml:space="preserve">The training </w:t>
      </w:r>
      <w:r w:rsidR="000C1ED9">
        <w:lastRenderedPageBreak/>
        <w:t>data was generated by means of a secondary data analysis of three driving simulator experiments investigating in-car countermeasures on the driver’s state.</w:t>
      </w:r>
      <w:r w:rsidR="006517CA">
        <w:t xml:space="preserve"> </w:t>
      </w:r>
      <w:r w:rsidR="000C1ED9">
        <w:t xml:space="preserve">Our </w:t>
      </w:r>
      <w:r w:rsidR="00612C20">
        <w:t xml:space="preserve">leading research </w:t>
      </w:r>
      <w:r w:rsidR="000C1ED9">
        <w:t>questions are:</w:t>
      </w:r>
    </w:p>
    <w:p w:rsidR="000C1ED9" w:rsidRDefault="000C1ED9" w:rsidP="000C1ED9">
      <w:r>
        <w:t>RQ1: How accurate can the algorithm detect cognitive sleepiness in an unknown driver?</w:t>
      </w:r>
    </w:p>
    <w:p w:rsidR="00612C20" w:rsidRDefault="000C1ED9" w:rsidP="000C1ED9">
      <w:r>
        <w:t>RQ2: Can the algorithm detect changes in sleepiness induced by countermeasures</w:t>
      </w:r>
      <w:r w:rsidR="00BB17BB">
        <w:t>?</w:t>
      </w:r>
    </w:p>
    <w:p w:rsidR="00867B6C" w:rsidRDefault="00867B6C" w:rsidP="000C1ED9"/>
    <w:p w:rsidR="00612C20" w:rsidRPr="000C1ED9" w:rsidRDefault="00612C20" w:rsidP="000C1ED9">
      <w:r>
        <w:t>T</w:t>
      </w:r>
      <w:r w:rsidR="00914708">
        <w:t>o answer these questions, this</w:t>
      </w:r>
      <w:r>
        <w:t xml:space="preserve"> paper </w:t>
      </w:r>
      <w:r w:rsidR="00914708">
        <w:t xml:space="preserve">first describes how training data was collected from </w:t>
      </w:r>
      <w:r w:rsidR="007F4C92">
        <w:t>three</w:t>
      </w:r>
      <w:r w:rsidR="00914708">
        <w:t xml:space="preserve"> simulator studies and the selection of features indicating sleepiness. Second, the algorithm, consisting of a cascaded logistic and linear regression model, is reported with its quality factors. Finally, our </w:t>
      </w:r>
      <w:r w:rsidR="00181D90">
        <w:t xml:space="preserve">research </w:t>
      </w:r>
      <w:r w:rsidR="00914708">
        <w:t>questi</w:t>
      </w:r>
      <w:r w:rsidR="007F4C92">
        <w:t xml:space="preserve">ons are discussed and the </w:t>
      </w:r>
      <w:r w:rsidR="00181D90">
        <w:t>applicational</w:t>
      </w:r>
      <w:r w:rsidR="007F4C92">
        <w:t xml:space="preserve"> limitations are reflected on.</w:t>
      </w:r>
      <w:r w:rsidR="00914708">
        <w:t xml:space="preserve">  </w:t>
      </w:r>
    </w:p>
    <w:p w:rsidR="000C1ED9" w:rsidRDefault="000C1ED9" w:rsidP="000257A8">
      <w:pPr>
        <w:pStyle w:val="Heading1"/>
      </w:pPr>
    </w:p>
    <w:p w:rsidR="000C1ED9" w:rsidRDefault="000C1ED9" w:rsidP="000257A8">
      <w:pPr>
        <w:pStyle w:val="Heading1"/>
      </w:pPr>
      <w:r>
        <w:t>Method</w:t>
      </w:r>
    </w:p>
    <w:p w:rsidR="000C1ED9" w:rsidRPr="000C1ED9" w:rsidRDefault="000C1ED9" w:rsidP="000C1ED9"/>
    <w:p w:rsidR="000C1ED9" w:rsidRDefault="00512BDE" w:rsidP="000C1ED9">
      <w:pPr>
        <w:pStyle w:val="Heading2"/>
      </w:pPr>
      <w:r>
        <w:t>Experimental</w:t>
      </w:r>
      <w:r w:rsidR="000C1ED9">
        <w:t xml:space="preserve"> Designs</w:t>
      </w:r>
    </w:p>
    <w:p w:rsidR="000C1ED9" w:rsidRDefault="000C1ED9" w:rsidP="000C1ED9"/>
    <w:p w:rsidR="000C1ED9" w:rsidRDefault="00612C20" w:rsidP="000C1ED9">
      <w:r>
        <w:t>D</w:t>
      </w:r>
      <w:r w:rsidR="000C1ED9">
        <w:t xml:space="preserve">ata for training and testing the classification </w:t>
      </w:r>
      <w:r w:rsidR="00181D90">
        <w:t xml:space="preserve">of sleepiness </w:t>
      </w:r>
      <w:r w:rsidR="000C1ED9">
        <w:t xml:space="preserve">was collected in a series of driving simulator experiments. The aim of these pilot experiments was the investigation of countermeasures for </w:t>
      </w:r>
      <w:r w:rsidR="00695159">
        <w:t>c</w:t>
      </w:r>
      <w:r w:rsidR="00565B81">
        <w:t>ritical driver states</w:t>
      </w:r>
      <w:r w:rsidR="000C1ED9">
        <w:t xml:space="preserve">. </w:t>
      </w:r>
      <w:r w:rsidR="00695159">
        <w:t>T</w:t>
      </w:r>
      <w:r w:rsidR="000C1ED9">
        <w:t xml:space="preserve">his secondary data analysis aims </w:t>
      </w:r>
      <w:r w:rsidR="008D02B2">
        <w:t>to model</w:t>
      </w:r>
      <w:r w:rsidR="000C1ED9">
        <w:t xml:space="preserve"> sleepiness caused by task underload, and therefore only </w:t>
      </w:r>
      <w:r w:rsidR="005E7EFE">
        <w:t>a part of the</w:t>
      </w:r>
      <w:r w:rsidR="000C1ED9">
        <w:t xml:space="preserve"> drives</w:t>
      </w:r>
      <w:r w:rsidR="00181D90">
        <w:t xml:space="preserve"> completed in these studies</w:t>
      </w:r>
      <w:r w:rsidR="00C84AFE">
        <w:t xml:space="preserve"> </w:t>
      </w:r>
      <w:r w:rsidR="00565B81">
        <w:t xml:space="preserve">– which caused task underload – </w:t>
      </w:r>
      <w:r w:rsidR="000C1ED9">
        <w:t>are analyzed. Table</w:t>
      </w:r>
      <w:r w:rsidR="008F0D33">
        <w:t xml:space="preserve"> 1</w:t>
      </w:r>
      <w:r w:rsidR="000C1ED9">
        <w:t xml:space="preserve"> shows </w:t>
      </w:r>
      <w:r w:rsidR="005E7EFE">
        <w:t>a description of the monotonous highway drives, information on</w:t>
      </w:r>
      <w:r w:rsidR="000C1ED9">
        <w:t xml:space="preserve"> sample size</w:t>
      </w:r>
      <w:r w:rsidR="005E7EFE">
        <w:t>s</w:t>
      </w:r>
      <w:r w:rsidR="000C1ED9">
        <w:t xml:space="preserve"> and a description</w:t>
      </w:r>
      <w:r w:rsidR="00565B81">
        <w:t>s</w:t>
      </w:r>
      <w:r w:rsidR="00867B6C">
        <w:t xml:space="preserve"> of the treatment.</w:t>
      </w:r>
    </w:p>
    <w:p w:rsidR="00C721DB" w:rsidRDefault="00C721DB" w:rsidP="000C1ED9"/>
    <w:p w:rsidR="004126A3" w:rsidRDefault="000C1ED9" w:rsidP="004126A3">
      <w:r>
        <w:t xml:space="preserve">The first experiment </w:t>
      </w:r>
      <w:r w:rsidR="007F4C92">
        <w:t>included a 24 minute long monotonous drive which</w:t>
      </w:r>
      <w:r>
        <w:t xml:space="preserve"> is visualized in </w:t>
      </w:r>
      <w:r w:rsidR="009776BA">
        <w:t>T</w:t>
      </w:r>
      <w:r>
        <w:t>able</w:t>
      </w:r>
      <w:r w:rsidR="007F4C92">
        <w:t> </w:t>
      </w:r>
      <w:r w:rsidR="009776BA">
        <w:t>1</w:t>
      </w:r>
      <w:r>
        <w:t xml:space="preserve">. </w:t>
      </w:r>
      <w:r w:rsidR="00C721DB">
        <w:t>After 14 minutes</w:t>
      </w:r>
      <w:r>
        <w:t xml:space="preserve"> and at the end of the drive </w:t>
      </w:r>
      <w:r w:rsidR="009776BA">
        <w:t xml:space="preserve">participants were asked </w:t>
      </w:r>
      <w:r>
        <w:t xml:space="preserve">the Stanford Sleepiness Scale </w:t>
      </w:r>
      <w:r w:rsidR="00C721DB">
        <w:t xml:space="preserve">(SSS) </w:t>
      </w:r>
      <w:r w:rsidR="00A05039">
        <w:t>via microphone</w:t>
      </w:r>
      <w:r>
        <w:t xml:space="preserve">. </w:t>
      </w:r>
      <w:r w:rsidR="008D02B2">
        <w:t>A countermeasure</w:t>
      </w:r>
      <w:r>
        <w:t xml:space="preserve"> was applied between minutes 20 and </w:t>
      </w:r>
      <w:r w:rsidR="00A639BE">
        <w:t>23 that</w:t>
      </w:r>
      <w:r>
        <w:t xml:space="preserve"> consisted of </w:t>
      </w:r>
      <w:r w:rsidR="007F4C92">
        <w:t xml:space="preserve">a combination of </w:t>
      </w:r>
      <w:r>
        <w:t>orange light from the car ceiling, scent, rhythmic sound and</w:t>
      </w:r>
      <w:r w:rsidR="009776BA">
        <w:t xml:space="preserve"> an</w:t>
      </w:r>
      <w:r>
        <w:t xml:space="preserve"> increased fan intensity of the AC</w:t>
      </w:r>
      <w:r w:rsidR="007F4C92">
        <w:t xml:space="preserve"> (COMB)</w:t>
      </w:r>
      <w:r>
        <w:t>. The in-car settings were started via remote control by the investigator.</w:t>
      </w:r>
      <w:r w:rsidR="006B6557">
        <w:t xml:space="preserve"> </w:t>
      </w:r>
      <w:r>
        <w:t xml:space="preserve">The second experiment employed a one-factor </w:t>
      </w:r>
      <w:r w:rsidR="00867B6C">
        <w:t>within-</w:t>
      </w:r>
      <w:r>
        <w:t xml:space="preserve">design. In this study, each subject drove two identical highway routes for 26 minutes. In one of the drives – the order was randomized – cooling at 17°C </w:t>
      </w:r>
      <w:r w:rsidR="008F0D33">
        <w:t xml:space="preserve">(COOL) </w:t>
      </w:r>
      <w:r>
        <w:t xml:space="preserve">was applied between minute 20 and 26 by the investigator. The sleepiness of the subjects was asked after 6, 16 and 26 minutes via the </w:t>
      </w:r>
      <w:r w:rsidR="00743F90">
        <w:t>KSS</w:t>
      </w:r>
      <w:r>
        <w:t xml:space="preserve">. The third experiment </w:t>
      </w:r>
      <w:r w:rsidR="007F4C92">
        <w:t xml:space="preserve">included an 18 minute long monotonous drive with no </w:t>
      </w:r>
      <w:r>
        <w:t>intervention</w:t>
      </w:r>
      <w:r w:rsidR="00456D35">
        <w:t xml:space="preserve"> (CONT)</w:t>
      </w:r>
      <w:r>
        <w:t xml:space="preserve">. </w:t>
      </w:r>
      <w:r w:rsidR="00867B6C">
        <w:t>At the end of the drive</w:t>
      </w:r>
      <w:r>
        <w:t xml:space="preserve"> sleepiness was asked with the SSS. </w:t>
      </w:r>
    </w:p>
    <w:p w:rsidR="004126A3" w:rsidRDefault="004126A3" w:rsidP="004126A3"/>
    <w:p w:rsidR="004A36B5" w:rsidRDefault="005E7EFE" w:rsidP="002870CD">
      <w:r>
        <w:t>All drives</w:t>
      </w:r>
      <w:r w:rsidR="00456D35">
        <w:t xml:space="preserve"> </w:t>
      </w:r>
      <w:r w:rsidR="004126A3">
        <w:t>were highway drives with very little traffic. Based on the observations of Schmidt et al. (2016) who investigated the possibility to induce cognitive sleepiness by means of traffic scenarios</w:t>
      </w:r>
      <w:r w:rsidR="00181D90">
        <w:t>,</w:t>
      </w:r>
      <w:r w:rsidR="004126A3">
        <w:t xml:space="preserve"> we conclude that 17 minutes of monotonous driving in a simulator </w:t>
      </w:r>
      <w:r w:rsidR="009776BA">
        <w:t xml:space="preserve">is sufficient to </w:t>
      </w:r>
      <w:r w:rsidR="004126A3">
        <w:t>evoke high SSS ratings.</w:t>
      </w:r>
      <w:r w:rsidR="004010E2" w:rsidRPr="004010E2">
        <w:rPr>
          <w:i/>
        </w:rPr>
        <w:t xml:space="preserve"> </w:t>
      </w:r>
      <w:r w:rsidR="004010E2">
        <w:t>The test vehicle was a</w:t>
      </w:r>
      <w:r w:rsidR="004010E2" w:rsidRPr="00072380">
        <w:t xml:space="preserve"> street-legal car</w:t>
      </w:r>
      <w:r w:rsidR="004010E2">
        <w:t>,</w:t>
      </w:r>
      <w:r w:rsidR="004010E2" w:rsidRPr="00072380">
        <w:t xml:space="preserve"> placed in a static driving simulator with a</w:t>
      </w:r>
      <w:r w:rsidR="004010E2">
        <w:t xml:space="preserve"> curved screen providing a 220°</w:t>
      </w:r>
      <w:r w:rsidR="004010E2" w:rsidRPr="00072380">
        <w:t xml:space="preserve"> view</w:t>
      </w:r>
      <w:r w:rsidR="004010E2">
        <w:t xml:space="preserve"> (Figure 1)</w:t>
      </w:r>
      <w:r w:rsidR="004010E2" w:rsidRPr="00072380">
        <w:t>.</w:t>
      </w:r>
      <w:r w:rsidR="004010E2">
        <w:t xml:space="preserve"> </w:t>
      </w:r>
      <w:r w:rsidR="004010E2" w:rsidRPr="00072380">
        <w:t xml:space="preserve">Two monitors facing the side mirrors placed behind the car </w:t>
      </w:r>
      <w:r w:rsidR="00867B6C">
        <w:t>and a rear mirror display</w:t>
      </w:r>
      <w:r w:rsidR="00867B6C" w:rsidRPr="00072380">
        <w:t xml:space="preserve"> </w:t>
      </w:r>
      <w:r w:rsidR="004010E2" w:rsidRPr="00072380">
        <w:t>enable</w:t>
      </w:r>
      <w:r w:rsidR="00867B6C">
        <w:t>d</w:t>
      </w:r>
      <w:r w:rsidR="004010E2" w:rsidRPr="00072380">
        <w:t xml:space="preserve"> a rear view. </w:t>
      </w:r>
      <w:r w:rsidR="004126A3">
        <w:t xml:space="preserve">For each </w:t>
      </w:r>
      <w:r w:rsidR="00867B6C">
        <w:t>experiment</w:t>
      </w:r>
      <w:r w:rsidR="004126A3">
        <w:t xml:space="preserve"> 50 subjects were invited. All subjects were asked to maintain their regular sleep schedule. Due to technical problems</w:t>
      </w:r>
      <w:r w:rsidR="00EF567A">
        <w:t xml:space="preserve"> </w:t>
      </w:r>
      <w:r w:rsidR="004126A3">
        <w:t xml:space="preserve">the usable datasets add up to 122. </w:t>
      </w:r>
      <w:r w:rsidR="002870CD">
        <w:t xml:space="preserve">ECG and skin conductance level (SCL) </w:t>
      </w:r>
      <w:r w:rsidR="002870CD" w:rsidRPr="00264D94">
        <w:t>were measured wit</w:t>
      </w:r>
      <w:r w:rsidR="002870CD">
        <w:t>h medical sensors (g.tech</w:t>
      </w:r>
      <w:r w:rsidR="002870CD" w:rsidRPr="00264D94">
        <w:t xml:space="preserve">, Austria) with a sampling frequency of 512 Hz. Gaze coordinates and pupil diameter of each eye were recorded at 60 Hz using a </w:t>
      </w:r>
      <w:r w:rsidR="002870CD">
        <w:t xml:space="preserve">remote </w:t>
      </w:r>
      <w:r w:rsidR="002870CD" w:rsidRPr="00264D94">
        <w:t>eye tracker (Tobii, Sweden).</w:t>
      </w:r>
    </w:p>
    <w:p w:rsidR="00867B6C" w:rsidRDefault="00867B6C" w:rsidP="005E4228">
      <w:pPr>
        <w:spacing w:after="120"/>
        <w:jc w:val="center"/>
        <w:rPr>
          <w:b/>
          <w:sz w:val="20"/>
        </w:rPr>
      </w:pPr>
    </w:p>
    <w:p w:rsidR="00A639BE" w:rsidRDefault="00A639BE" w:rsidP="005E4228">
      <w:pPr>
        <w:spacing w:after="120"/>
        <w:jc w:val="center"/>
        <w:rPr>
          <w:b/>
          <w:sz w:val="20"/>
        </w:rPr>
      </w:pPr>
    </w:p>
    <w:p w:rsidR="00512BDE" w:rsidRPr="005E4228" w:rsidRDefault="005E4228" w:rsidP="005E4228">
      <w:pPr>
        <w:spacing w:after="120"/>
        <w:jc w:val="center"/>
        <w:rPr>
          <w:b/>
          <w:sz w:val="20"/>
        </w:rPr>
      </w:pPr>
      <w:r w:rsidRPr="003A74DB">
        <w:rPr>
          <w:b/>
          <w:sz w:val="20"/>
        </w:rPr>
        <w:lastRenderedPageBreak/>
        <w:t xml:space="preserve">Table 1. </w:t>
      </w:r>
      <w:r>
        <w:rPr>
          <w:b/>
          <w:sz w:val="20"/>
        </w:rPr>
        <w:t>Overview of simulator drives used for algorithm development</w:t>
      </w:r>
    </w:p>
    <w:tbl>
      <w:tblPr>
        <w:tblStyle w:val="TableGrid"/>
        <w:tblW w:w="9356" w:type="dxa"/>
        <w:tblCellMar>
          <w:top w:w="57" w:type="dxa"/>
        </w:tblCellMar>
        <w:tblLook w:val="04A0" w:firstRow="1" w:lastRow="0" w:firstColumn="1" w:lastColumn="0" w:noHBand="0" w:noVBand="1"/>
      </w:tblPr>
      <w:tblGrid>
        <w:gridCol w:w="1418"/>
        <w:gridCol w:w="4197"/>
        <w:gridCol w:w="236"/>
        <w:gridCol w:w="307"/>
        <w:gridCol w:w="3198"/>
      </w:tblGrid>
      <w:tr w:rsidR="000C1ED9" w:rsidTr="005E7EFE">
        <w:tc>
          <w:tcPr>
            <w:tcW w:w="1418" w:type="dxa"/>
            <w:tcBorders>
              <w:left w:val="nil"/>
              <w:right w:val="single" w:sz="4" w:space="0" w:color="FFFFFF" w:themeColor="background1"/>
            </w:tcBorders>
          </w:tcPr>
          <w:p w:rsidR="000C1ED9" w:rsidRPr="006648D6" w:rsidRDefault="000C1ED9" w:rsidP="005E4228">
            <w:pPr>
              <w:jc w:val="center"/>
              <w:rPr>
                <w:b/>
                <w:sz w:val="18"/>
                <w:szCs w:val="18"/>
              </w:rPr>
            </w:pPr>
            <w:r w:rsidRPr="006648D6">
              <w:rPr>
                <w:b/>
                <w:sz w:val="18"/>
                <w:szCs w:val="18"/>
              </w:rPr>
              <w:t>Date</w:t>
            </w:r>
          </w:p>
        </w:tc>
        <w:tc>
          <w:tcPr>
            <w:tcW w:w="4197" w:type="dxa"/>
            <w:tcBorders>
              <w:left w:val="single" w:sz="4" w:space="0" w:color="FFFFFF" w:themeColor="background1"/>
              <w:right w:val="single" w:sz="4" w:space="0" w:color="FFFFFF" w:themeColor="background1"/>
            </w:tcBorders>
          </w:tcPr>
          <w:p w:rsidR="000C1ED9" w:rsidRPr="006648D6" w:rsidRDefault="000C1ED9" w:rsidP="005E4228">
            <w:pPr>
              <w:jc w:val="center"/>
              <w:rPr>
                <w:b/>
                <w:sz w:val="18"/>
                <w:szCs w:val="18"/>
              </w:rPr>
            </w:pPr>
            <w:r w:rsidRPr="006648D6">
              <w:rPr>
                <w:b/>
                <w:sz w:val="18"/>
                <w:szCs w:val="18"/>
              </w:rPr>
              <w:t>Sample</w:t>
            </w:r>
          </w:p>
        </w:tc>
        <w:tc>
          <w:tcPr>
            <w:tcW w:w="236" w:type="dxa"/>
            <w:tcBorders>
              <w:left w:val="single" w:sz="4" w:space="0" w:color="FFFFFF" w:themeColor="background1"/>
              <w:right w:val="single" w:sz="4" w:space="0" w:color="FFFFFF" w:themeColor="background1"/>
            </w:tcBorders>
          </w:tcPr>
          <w:p w:rsidR="000C1ED9" w:rsidRPr="006648D6" w:rsidRDefault="000C1ED9" w:rsidP="005E4228">
            <w:pPr>
              <w:jc w:val="center"/>
              <w:rPr>
                <w:b/>
                <w:sz w:val="18"/>
                <w:szCs w:val="18"/>
              </w:rPr>
            </w:pPr>
          </w:p>
        </w:tc>
        <w:tc>
          <w:tcPr>
            <w:tcW w:w="307" w:type="dxa"/>
            <w:tcBorders>
              <w:left w:val="single" w:sz="4" w:space="0" w:color="FFFFFF" w:themeColor="background1"/>
              <w:right w:val="single" w:sz="4" w:space="0" w:color="FFFFFF" w:themeColor="background1"/>
            </w:tcBorders>
          </w:tcPr>
          <w:p w:rsidR="000C1ED9" w:rsidRPr="006648D6" w:rsidRDefault="000C1ED9" w:rsidP="005E4228">
            <w:pPr>
              <w:jc w:val="center"/>
              <w:rPr>
                <w:b/>
                <w:sz w:val="18"/>
                <w:szCs w:val="18"/>
              </w:rPr>
            </w:pPr>
          </w:p>
        </w:tc>
        <w:tc>
          <w:tcPr>
            <w:tcW w:w="3198" w:type="dxa"/>
            <w:tcBorders>
              <w:left w:val="single" w:sz="4" w:space="0" w:color="FFFFFF" w:themeColor="background1"/>
              <w:right w:val="nil"/>
            </w:tcBorders>
          </w:tcPr>
          <w:p w:rsidR="000C1ED9" w:rsidRPr="006648D6" w:rsidRDefault="000C1ED9" w:rsidP="005E4228">
            <w:pPr>
              <w:jc w:val="center"/>
              <w:rPr>
                <w:b/>
                <w:sz w:val="18"/>
                <w:szCs w:val="18"/>
              </w:rPr>
            </w:pPr>
            <w:r w:rsidRPr="006648D6">
              <w:rPr>
                <w:b/>
                <w:sz w:val="18"/>
                <w:szCs w:val="18"/>
              </w:rPr>
              <w:t>Sleepiness intervention</w:t>
            </w:r>
          </w:p>
        </w:tc>
      </w:tr>
      <w:tr w:rsidR="000C1ED9" w:rsidTr="005E7EFE">
        <w:tc>
          <w:tcPr>
            <w:tcW w:w="1418" w:type="dxa"/>
            <w:tcBorders>
              <w:left w:val="nil"/>
              <w:bottom w:val="nil"/>
              <w:right w:val="single" w:sz="4" w:space="0" w:color="FFFFFF" w:themeColor="background1"/>
            </w:tcBorders>
          </w:tcPr>
          <w:p w:rsidR="000C1ED9" w:rsidRPr="006648D6" w:rsidRDefault="000C1ED9" w:rsidP="005E4228">
            <w:pPr>
              <w:jc w:val="center"/>
              <w:rPr>
                <w:b/>
                <w:sz w:val="18"/>
                <w:szCs w:val="18"/>
              </w:rPr>
            </w:pPr>
            <w:r w:rsidRPr="006648D6">
              <w:rPr>
                <w:b/>
                <w:sz w:val="18"/>
                <w:szCs w:val="18"/>
              </w:rPr>
              <w:t>Study I</w:t>
            </w:r>
          </w:p>
          <w:p w:rsidR="000C1ED9" w:rsidRPr="006648D6" w:rsidRDefault="000C1ED9" w:rsidP="005E4228">
            <w:pPr>
              <w:jc w:val="center"/>
              <w:rPr>
                <w:b/>
                <w:sz w:val="18"/>
                <w:szCs w:val="18"/>
              </w:rPr>
            </w:pPr>
            <w:r w:rsidRPr="006648D6">
              <w:rPr>
                <w:b/>
                <w:sz w:val="18"/>
                <w:szCs w:val="18"/>
              </w:rPr>
              <w:t>December 2015</w:t>
            </w:r>
          </w:p>
        </w:tc>
        <w:tc>
          <w:tcPr>
            <w:tcW w:w="4197" w:type="dxa"/>
            <w:tcBorders>
              <w:left w:val="single" w:sz="4" w:space="0" w:color="FFFFFF" w:themeColor="background1"/>
              <w:bottom w:val="nil"/>
              <w:right w:val="single" w:sz="4" w:space="0" w:color="FFFFFF" w:themeColor="background1"/>
            </w:tcBorders>
          </w:tcPr>
          <w:p w:rsidR="005E7EFE" w:rsidRDefault="005E7EFE" w:rsidP="005E4228">
            <w:pPr>
              <w:jc w:val="center"/>
              <w:rPr>
                <w:sz w:val="18"/>
                <w:szCs w:val="18"/>
              </w:rPr>
            </w:pPr>
            <w:r>
              <w:rPr>
                <w:sz w:val="18"/>
                <w:szCs w:val="18"/>
              </w:rPr>
              <w:t>n=</w:t>
            </w:r>
            <w:r w:rsidR="009B3782">
              <w:rPr>
                <w:sz w:val="18"/>
                <w:szCs w:val="18"/>
              </w:rPr>
              <w:t>36</w:t>
            </w:r>
            <w:r w:rsidR="000C1ED9" w:rsidRPr="00A974AA">
              <w:rPr>
                <w:sz w:val="18"/>
                <w:szCs w:val="18"/>
              </w:rPr>
              <w:t xml:space="preserve"> </w:t>
            </w:r>
            <w:r w:rsidR="009B3782" w:rsidRPr="00A974AA">
              <w:rPr>
                <w:sz w:val="18"/>
                <w:szCs w:val="18"/>
              </w:rPr>
              <w:t>(</w:t>
            </w:r>
            <w:r w:rsidR="009B3782">
              <w:rPr>
                <w:sz w:val="18"/>
                <w:szCs w:val="18"/>
              </w:rPr>
              <w:t xml:space="preserve">♂ </w:t>
            </w:r>
            <w:r w:rsidR="00413F7C">
              <w:rPr>
                <w:sz w:val="18"/>
                <w:szCs w:val="18"/>
              </w:rPr>
              <w:t>25</w:t>
            </w:r>
            <w:r w:rsidR="009B3782">
              <w:rPr>
                <w:sz w:val="18"/>
                <w:szCs w:val="18"/>
              </w:rPr>
              <w:t>, ♀</w:t>
            </w:r>
            <w:r w:rsidR="009B3782" w:rsidRPr="00A974AA">
              <w:rPr>
                <w:sz w:val="18"/>
                <w:szCs w:val="18"/>
              </w:rPr>
              <w:t xml:space="preserve"> </w:t>
            </w:r>
            <w:r w:rsidR="00413F7C">
              <w:rPr>
                <w:sz w:val="18"/>
                <w:szCs w:val="18"/>
              </w:rPr>
              <w:t>11</w:t>
            </w:r>
            <w:r w:rsidR="009B3782" w:rsidRPr="00A974AA">
              <w:rPr>
                <w:sz w:val="18"/>
                <w:szCs w:val="18"/>
              </w:rPr>
              <w:t>)</w:t>
            </w:r>
          </w:p>
          <w:p w:rsidR="000C1ED9" w:rsidRPr="00A974AA" w:rsidRDefault="009B3782" w:rsidP="005E7EFE">
            <w:pPr>
              <w:jc w:val="center"/>
              <w:rPr>
                <w:sz w:val="18"/>
                <w:szCs w:val="18"/>
              </w:rPr>
            </w:pPr>
            <w:r>
              <w:rPr>
                <w:sz w:val="18"/>
                <w:szCs w:val="18"/>
              </w:rPr>
              <w:t>a</w:t>
            </w:r>
            <w:r w:rsidR="000C1ED9" w:rsidRPr="00A974AA">
              <w:rPr>
                <w:sz w:val="18"/>
                <w:szCs w:val="18"/>
              </w:rPr>
              <w:t xml:space="preserve">ge </w:t>
            </w:r>
            <w:r w:rsidR="00413F7C">
              <w:rPr>
                <w:sz w:val="18"/>
                <w:szCs w:val="18"/>
              </w:rPr>
              <w:t>31.3</w:t>
            </w:r>
            <w:r w:rsidR="000C1ED9" w:rsidRPr="00A974AA">
              <w:rPr>
                <w:sz w:val="18"/>
                <w:szCs w:val="18"/>
              </w:rPr>
              <w:t>±</w:t>
            </w:r>
            <w:r w:rsidR="00413F7C">
              <w:rPr>
                <w:sz w:val="18"/>
                <w:szCs w:val="18"/>
              </w:rPr>
              <w:t>9.7</w:t>
            </w:r>
            <w:r w:rsidR="005E7EFE">
              <w:rPr>
                <w:sz w:val="18"/>
                <w:szCs w:val="18"/>
              </w:rPr>
              <w:t xml:space="preserve">, </w:t>
            </w:r>
            <w:r w:rsidR="000C1ED9" w:rsidRPr="00A974AA">
              <w:rPr>
                <w:sz w:val="18"/>
                <w:szCs w:val="18"/>
              </w:rPr>
              <w:t>(min</w:t>
            </w:r>
            <w:r w:rsidR="00181D90">
              <w:rPr>
                <w:sz w:val="18"/>
                <w:szCs w:val="18"/>
              </w:rPr>
              <w:t>.</w:t>
            </w:r>
            <w:r w:rsidR="00413F7C">
              <w:rPr>
                <w:sz w:val="18"/>
                <w:szCs w:val="18"/>
              </w:rPr>
              <w:t xml:space="preserve"> 18</w:t>
            </w:r>
            <w:r w:rsidR="000C1ED9" w:rsidRPr="00A974AA">
              <w:rPr>
                <w:sz w:val="18"/>
                <w:szCs w:val="18"/>
              </w:rPr>
              <w:t>, max</w:t>
            </w:r>
            <w:r w:rsidR="00181D90">
              <w:rPr>
                <w:sz w:val="18"/>
                <w:szCs w:val="18"/>
              </w:rPr>
              <w:t>.</w:t>
            </w:r>
            <w:r w:rsidR="00413F7C">
              <w:rPr>
                <w:sz w:val="18"/>
                <w:szCs w:val="18"/>
              </w:rPr>
              <w:t xml:space="preserve"> 57</w:t>
            </w:r>
            <w:r w:rsidR="000C1ED9" w:rsidRPr="00A974AA">
              <w:rPr>
                <w:sz w:val="18"/>
                <w:szCs w:val="18"/>
              </w:rPr>
              <w:t>)</w:t>
            </w:r>
          </w:p>
        </w:tc>
        <w:tc>
          <w:tcPr>
            <w:tcW w:w="236" w:type="dxa"/>
            <w:tcBorders>
              <w:left w:val="single" w:sz="4" w:space="0" w:color="FFFFFF" w:themeColor="background1"/>
              <w:bottom w:val="nil"/>
              <w:right w:val="single" w:sz="4" w:space="0" w:color="FFFFFF" w:themeColor="background1"/>
            </w:tcBorders>
          </w:tcPr>
          <w:p w:rsidR="000C1ED9" w:rsidRPr="00A974AA" w:rsidRDefault="000C1ED9" w:rsidP="005E4228">
            <w:pPr>
              <w:jc w:val="center"/>
              <w:rPr>
                <w:sz w:val="18"/>
                <w:szCs w:val="18"/>
              </w:rPr>
            </w:pPr>
          </w:p>
        </w:tc>
        <w:tc>
          <w:tcPr>
            <w:tcW w:w="307" w:type="dxa"/>
            <w:tcBorders>
              <w:left w:val="single" w:sz="4" w:space="0" w:color="FFFFFF" w:themeColor="background1"/>
              <w:bottom w:val="nil"/>
              <w:right w:val="single" w:sz="4" w:space="0" w:color="FFFFFF" w:themeColor="background1"/>
            </w:tcBorders>
          </w:tcPr>
          <w:p w:rsidR="000C1ED9" w:rsidRPr="00A974AA" w:rsidRDefault="000C1ED9" w:rsidP="004010E2">
            <w:pPr>
              <w:jc w:val="center"/>
              <w:rPr>
                <w:sz w:val="18"/>
                <w:szCs w:val="18"/>
              </w:rPr>
            </w:pPr>
          </w:p>
        </w:tc>
        <w:tc>
          <w:tcPr>
            <w:tcW w:w="3198" w:type="dxa"/>
            <w:tcBorders>
              <w:left w:val="single" w:sz="4" w:space="0" w:color="FFFFFF" w:themeColor="background1"/>
              <w:bottom w:val="nil"/>
              <w:right w:val="nil"/>
            </w:tcBorders>
          </w:tcPr>
          <w:p w:rsidR="000C1ED9" w:rsidRPr="00A974AA" w:rsidRDefault="005E7EFE" w:rsidP="005E7EFE">
            <w:pPr>
              <w:jc w:val="center"/>
              <w:rPr>
                <w:sz w:val="18"/>
                <w:szCs w:val="18"/>
              </w:rPr>
            </w:pPr>
            <w:r>
              <w:rPr>
                <w:sz w:val="18"/>
                <w:szCs w:val="18"/>
              </w:rPr>
              <w:t>COMB: c</w:t>
            </w:r>
            <w:r w:rsidR="000C1ED9" w:rsidRPr="00A974AA">
              <w:rPr>
                <w:sz w:val="18"/>
                <w:szCs w:val="18"/>
              </w:rPr>
              <w:t xml:space="preserve">ombination of light, sound, scent and climate in </w:t>
            </w:r>
            <w:r w:rsidR="00C44985">
              <w:rPr>
                <w:sz w:val="18"/>
                <w:szCs w:val="18"/>
              </w:rPr>
              <w:t>m</w:t>
            </w:r>
            <w:r w:rsidR="000C1ED9" w:rsidRPr="00A974AA">
              <w:rPr>
                <w:sz w:val="18"/>
                <w:szCs w:val="18"/>
              </w:rPr>
              <w:t>inutes 20-23</w:t>
            </w:r>
          </w:p>
        </w:tc>
      </w:tr>
      <w:tr w:rsidR="000C1ED9" w:rsidTr="004010E2">
        <w:tc>
          <w:tcPr>
            <w:tcW w:w="9356" w:type="dxa"/>
            <w:gridSpan w:val="5"/>
            <w:tcBorders>
              <w:top w:val="nil"/>
              <w:left w:val="nil"/>
              <w:bottom w:val="single" w:sz="4" w:space="0" w:color="auto"/>
              <w:right w:val="nil"/>
            </w:tcBorders>
          </w:tcPr>
          <w:p w:rsidR="000C1ED9" w:rsidRPr="006648D6" w:rsidRDefault="006648D6" w:rsidP="000476C6">
            <w:pPr>
              <w:rPr>
                <w:b/>
                <w:sz w:val="18"/>
                <w:szCs w:val="18"/>
              </w:rPr>
            </w:pPr>
            <w:r w:rsidRPr="006648D6">
              <w:rPr>
                <w:b/>
                <w:noProof/>
                <w:sz w:val="18"/>
                <w:szCs w:val="18"/>
              </w:rPr>
              <w:drawing>
                <wp:inline distT="0" distB="0" distL="0" distR="0">
                  <wp:extent cx="4772025" cy="390525"/>
                  <wp:effectExtent l="0" t="0" r="9525" b="952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rives.emf"/>
                          <pic:cNvPicPr/>
                        </pic:nvPicPr>
                        <pic:blipFill rotWithShape="1">
                          <a:blip r:embed="rId8">
                            <a:extLst>
                              <a:ext uri="{28A0092B-C50C-407E-A947-70E740481C1C}">
                                <a14:useLocalDpi xmlns:a14="http://schemas.microsoft.com/office/drawing/2010/main" val="0"/>
                              </a:ext>
                            </a:extLst>
                          </a:blip>
                          <a:srcRect l="5128" t="9677" r="14584" b="78653"/>
                          <a:stretch/>
                        </pic:blipFill>
                        <pic:spPr bwMode="auto">
                          <a:xfrm>
                            <a:off x="0" y="0"/>
                            <a:ext cx="4772025" cy="390525"/>
                          </a:xfrm>
                          <a:prstGeom prst="rect">
                            <a:avLst/>
                          </a:prstGeom>
                          <a:ln>
                            <a:noFill/>
                          </a:ln>
                          <a:extLst>
                            <a:ext uri="{53640926-AAD7-44D8-BBD7-CCE9431645EC}">
                              <a14:shadowObscured xmlns:a14="http://schemas.microsoft.com/office/drawing/2010/main"/>
                            </a:ext>
                          </a:extLst>
                        </pic:spPr>
                      </pic:pic>
                    </a:graphicData>
                  </a:graphic>
                </wp:inline>
              </w:drawing>
            </w:r>
          </w:p>
        </w:tc>
      </w:tr>
      <w:tr w:rsidR="000C1ED9" w:rsidTr="005E7EFE">
        <w:tc>
          <w:tcPr>
            <w:tcW w:w="1418" w:type="dxa"/>
            <w:tcBorders>
              <w:top w:val="single" w:sz="4" w:space="0" w:color="auto"/>
              <w:left w:val="nil"/>
              <w:bottom w:val="nil"/>
              <w:right w:val="single" w:sz="4" w:space="0" w:color="FFFFFF" w:themeColor="background1"/>
            </w:tcBorders>
          </w:tcPr>
          <w:p w:rsidR="000C1ED9" w:rsidRPr="006648D6" w:rsidRDefault="000C1ED9" w:rsidP="005E4228">
            <w:pPr>
              <w:jc w:val="center"/>
              <w:rPr>
                <w:b/>
                <w:sz w:val="18"/>
                <w:szCs w:val="18"/>
              </w:rPr>
            </w:pPr>
            <w:r w:rsidRPr="006648D6">
              <w:rPr>
                <w:b/>
                <w:sz w:val="18"/>
                <w:szCs w:val="18"/>
              </w:rPr>
              <w:t>Study II</w:t>
            </w:r>
          </w:p>
          <w:p w:rsidR="000C1ED9" w:rsidRPr="006648D6" w:rsidRDefault="000C1ED9" w:rsidP="005E4228">
            <w:pPr>
              <w:jc w:val="center"/>
              <w:rPr>
                <w:b/>
                <w:sz w:val="18"/>
                <w:szCs w:val="18"/>
              </w:rPr>
            </w:pPr>
            <w:r w:rsidRPr="006648D6">
              <w:rPr>
                <w:b/>
                <w:sz w:val="18"/>
                <w:szCs w:val="18"/>
              </w:rPr>
              <w:t>February 2016</w:t>
            </w:r>
          </w:p>
        </w:tc>
        <w:tc>
          <w:tcPr>
            <w:tcW w:w="4197" w:type="dxa"/>
            <w:tcBorders>
              <w:top w:val="single" w:sz="4" w:space="0" w:color="auto"/>
              <w:left w:val="single" w:sz="4" w:space="0" w:color="FFFFFF" w:themeColor="background1"/>
              <w:bottom w:val="nil"/>
              <w:right w:val="single" w:sz="4" w:space="0" w:color="FFFFFF" w:themeColor="background1"/>
            </w:tcBorders>
          </w:tcPr>
          <w:p w:rsidR="005E7EFE" w:rsidRDefault="005E7EFE" w:rsidP="005E4228">
            <w:pPr>
              <w:jc w:val="center"/>
              <w:rPr>
                <w:sz w:val="18"/>
                <w:szCs w:val="18"/>
              </w:rPr>
            </w:pPr>
            <w:r>
              <w:rPr>
                <w:sz w:val="18"/>
                <w:szCs w:val="18"/>
              </w:rPr>
              <w:t>n=</w:t>
            </w:r>
            <w:r w:rsidR="000C1ED9" w:rsidRPr="00A974AA">
              <w:rPr>
                <w:sz w:val="18"/>
                <w:szCs w:val="18"/>
              </w:rPr>
              <w:t>44</w:t>
            </w:r>
            <w:r w:rsidR="00C44985">
              <w:rPr>
                <w:sz w:val="18"/>
                <w:szCs w:val="18"/>
              </w:rPr>
              <w:t xml:space="preserve"> </w:t>
            </w:r>
            <w:r w:rsidR="009B3782" w:rsidRPr="00A974AA">
              <w:rPr>
                <w:sz w:val="18"/>
                <w:szCs w:val="18"/>
              </w:rPr>
              <w:t>(</w:t>
            </w:r>
            <w:r w:rsidR="009B3782">
              <w:rPr>
                <w:sz w:val="18"/>
                <w:szCs w:val="18"/>
              </w:rPr>
              <w:t xml:space="preserve">♂ </w:t>
            </w:r>
            <w:r w:rsidR="00A42E5A">
              <w:rPr>
                <w:sz w:val="18"/>
                <w:szCs w:val="18"/>
              </w:rPr>
              <w:t>31</w:t>
            </w:r>
            <w:r w:rsidR="009B3782">
              <w:rPr>
                <w:sz w:val="18"/>
                <w:szCs w:val="18"/>
              </w:rPr>
              <w:t>, ♀</w:t>
            </w:r>
            <w:r w:rsidR="009B3782" w:rsidRPr="00A974AA">
              <w:rPr>
                <w:sz w:val="18"/>
                <w:szCs w:val="18"/>
              </w:rPr>
              <w:t xml:space="preserve"> </w:t>
            </w:r>
            <w:r w:rsidR="00A42E5A">
              <w:rPr>
                <w:sz w:val="18"/>
                <w:szCs w:val="18"/>
              </w:rPr>
              <w:t>13</w:t>
            </w:r>
            <w:r w:rsidR="009B3782" w:rsidRPr="00A974AA">
              <w:rPr>
                <w:sz w:val="18"/>
                <w:szCs w:val="18"/>
              </w:rPr>
              <w:t>)</w:t>
            </w:r>
          </w:p>
          <w:p w:rsidR="00C44985" w:rsidRPr="00A974AA" w:rsidRDefault="009B3782" w:rsidP="005E7EFE">
            <w:pPr>
              <w:jc w:val="center"/>
              <w:rPr>
                <w:sz w:val="18"/>
                <w:szCs w:val="18"/>
              </w:rPr>
            </w:pPr>
            <w:r>
              <w:rPr>
                <w:sz w:val="18"/>
                <w:szCs w:val="18"/>
              </w:rPr>
              <w:t>a</w:t>
            </w:r>
            <w:r w:rsidR="000C1ED9" w:rsidRPr="00A974AA">
              <w:rPr>
                <w:sz w:val="18"/>
                <w:szCs w:val="18"/>
              </w:rPr>
              <w:t xml:space="preserve">ge </w:t>
            </w:r>
            <w:r w:rsidR="00A42E5A">
              <w:rPr>
                <w:sz w:val="18"/>
                <w:szCs w:val="18"/>
              </w:rPr>
              <w:t>33.0</w:t>
            </w:r>
            <w:r w:rsidR="000C1ED9" w:rsidRPr="00A974AA">
              <w:rPr>
                <w:sz w:val="18"/>
                <w:szCs w:val="18"/>
              </w:rPr>
              <w:t>±</w:t>
            </w:r>
            <w:r w:rsidR="00A42E5A">
              <w:rPr>
                <w:sz w:val="18"/>
                <w:szCs w:val="18"/>
              </w:rPr>
              <w:t>11.3</w:t>
            </w:r>
            <w:r w:rsidR="005E7EFE">
              <w:rPr>
                <w:sz w:val="18"/>
                <w:szCs w:val="18"/>
              </w:rPr>
              <w:t xml:space="preserve">, </w:t>
            </w:r>
            <w:r w:rsidR="000C1ED9" w:rsidRPr="00A974AA">
              <w:rPr>
                <w:sz w:val="18"/>
                <w:szCs w:val="18"/>
              </w:rPr>
              <w:t>(min</w:t>
            </w:r>
            <w:r w:rsidR="00181D90">
              <w:rPr>
                <w:sz w:val="18"/>
                <w:szCs w:val="18"/>
              </w:rPr>
              <w:t>.</w:t>
            </w:r>
            <w:r w:rsidR="00A42E5A">
              <w:rPr>
                <w:sz w:val="18"/>
                <w:szCs w:val="18"/>
              </w:rPr>
              <w:t xml:space="preserve"> 21</w:t>
            </w:r>
            <w:r w:rsidR="000C1ED9" w:rsidRPr="00A974AA">
              <w:rPr>
                <w:sz w:val="18"/>
                <w:szCs w:val="18"/>
              </w:rPr>
              <w:t>, max</w:t>
            </w:r>
            <w:r w:rsidR="00181D90">
              <w:rPr>
                <w:sz w:val="18"/>
                <w:szCs w:val="18"/>
              </w:rPr>
              <w:t>.</w:t>
            </w:r>
            <w:r w:rsidR="00A42E5A">
              <w:rPr>
                <w:sz w:val="18"/>
                <w:szCs w:val="18"/>
              </w:rPr>
              <w:t xml:space="preserve"> 59</w:t>
            </w:r>
            <w:r w:rsidR="000C1ED9" w:rsidRPr="00A974AA">
              <w:rPr>
                <w:sz w:val="18"/>
                <w:szCs w:val="18"/>
              </w:rPr>
              <w:t>)</w:t>
            </w:r>
          </w:p>
        </w:tc>
        <w:tc>
          <w:tcPr>
            <w:tcW w:w="236" w:type="dxa"/>
            <w:tcBorders>
              <w:top w:val="single" w:sz="4" w:space="0" w:color="auto"/>
              <w:left w:val="single" w:sz="4" w:space="0" w:color="FFFFFF" w:themeColor="background1"/>
              <w:bottom w:val="nil"/>
              <w:right w:val="single" w:sz="4" w:space="0" w:color="FFFFFF" w:themeColor="background1"/>
            </w:tcBorders>
          </w:tcPr>
          <w:p w:rsidR="000C1ED9" w:rsidRPr="00A974AA" w:rsidRDefault="000C1ED9" w:rsidP="005E4228">
            <w:pPr>
              <w:jc w:val="center"/>
              <w:rPr>
                <w:sz w:val="18"/>
                <w:szCs w:val="18"/>
              </w:rPr>
            </w:pPr>
          </w:p>
        </w:tc>
        <w:tc>
          <w:tcPr>
            <w:tcW w:w="307" w:type="dxa"/>
            <w:tcBorders>
              <w:top w:val="single" w:sz="4" w:space="0" w:color="auto"/>
              <w:left w:val="single" w:sz="4" w:space="0" w:color="FFFFFF" w:themeColor="background1"/>
              <w:bottom w:val="nil"/>
              <w:right w:val="single" w:sz="4" w:space="0" w:color="FFFFFF" w:themeColor="background1"/>
            </w:tcBorders>
          </w:tcPr>
          <w:p w:rsidR="000C1ED9" w:rsidRPr="00A974AA" w:rsidRDefault="000C1ED9" w:rsidP="005E4228">
            <w:pPr>
              <w:jc w:val="center"/>
              <w:rPr>
                <w:sz w:val="18"/>
                <w:szCs w:val="18"/>
              </w:rPr>
            </w:pPr>
          </w:p>
        </w:tc>
        <w:tc>
          <w:tcPr>
            <w:tcW w:w="3198" w:type="dxa"/>
            <w:tcBorders>
              <w:top w:val="single" w:sz="4" w:space="0" w:color="auto"/>
              <w:left w:val="single" w:sz="4" w:space="0" w:color="FFFFFF" w:themeColor="background1"/>
              <w:bottom w:val="nil"/>
              <w:right w:val="nil"/>
            </w:tcBorders>
          </w:tcPr>
          <w:p w:rsidR="000C1ED9" w:rsidRPr="00A974AA" w:rsidRDefault="005E7EFE" w:rsidP="00C44985">
            <w:pPr>
              <w:jc w:val="center"/>
              <w:rPr>
                <w:sz w:val="18"/>
                <w:szCs w:val="18"/>
              </w:rPr>
            </w:pPr>
            <w:r>
              <w:rPr>
                <w:sz w:val="18"/>
                <w:szCs w:val="18"/>
              </w:rPr>
              <w:t>COOL: c</w:t>
            </w:r>
            <w:r w:rsidR="000C1ED9" w:rsidRPr="00A974AA">
              <w:rPr>
                <w:sz w:val="18"/>
                <w:szCs w:val="18"/>
              </w:rPr>
              <w:t>limate</w:t>
            </w:r>
            <w:r>
              <w:rPr>
                <w:sz w:val="18"/>
                <w:szCs w:val="18"/>
              </w:rPr>
              <w:t xml:space="preserve"> change</w:t>
            </w:r>
            <w:r w:rsidR="000C1ED9" w:rsidRPr="00A974AA">
              <w:rPr>
                <w:sz w:val="18"/>
                <w:szCs w:val="18"/>
              </w:rPr>
              <w:t xml:space="preserve"> in </w:t>
            </w:r>
            <w:r w:rsidR="00C44985">
              <w:rPr>
                <w:sz w:val="18"/>
                <w:szCs w:val="18"/>
              </w:rPr>
              <w:t>m</w:t>
            </w:r>
            <w:r w:rsidR="000C1ED9" w:rsidRPr="00A974AA">
              <w:rPr>
                <w:sz w:val="18"/>
                <w:szCs w:val="18"/>
              </w:rPr>
              <w:t>inutes 20-26</w:t>
            </w:r>
          </w:p>
        </w:tc>
      </w:tr>
      <w:tr w:rsidR="000C1ED9" w:rsidTr="004010E2">
        <w:tc>
          <w:tcPr>
            <w:tcW w:w="9356" w:type="dxa"/>
            <w:gridSpan w:val="5"/>
            <w:tcBorders>
              <w:top w:val="nil"/>
              <w:left w:val="nil"/>
              <w:bottom w:val="single" w:sz="4" w:space="0" w:color="auto"/>
              <w:right w:val="nil"/>
            </w:tcBorders>
          </w:tcPr>
          <w:p w:rsidR="00C44985" w:rsidRPr="006648D6" w:rsidRDefault="004A6D5F" w:rsidP="000476C6">
            <w:pPr>
              <w:rPr>
                <w:b/>
                <w:sz w:val="18"/>
                <w:szCs w:val="18"/>
              </w:rPr>
            </w:pPr>
            <w:r>
              <w:rPr>
                <w:b/>
                <w:noProof/>
                <w:sz w:val="18"/>
                <w:szCs w:val="18"/>
              </w:rPr>
              <w:drawing>
                <wp:inline distT="0" distB="0" distL="0" distR="0">
                  <wp:extent cx="5105400" cy="7493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ives.emf"/>
                          <pic:cNvPicPr/>
                        </pic:nvPicPr>
                        <pic:blipFill rotWithShape="1">
                          <a:blip r:embed="rId9">
                            <a:extLst>
                              <a:ext uri="{28A0092B-C50C-407E-A947-70E740481C1C}">
                                <a14:useLocalDpi xmlns:a14="http://schemas.microsoft.com/office/drawing/2010/main" val="0"/>
                              </a:ext>
                            </a:extLst>
                          </a:blip>
                          <a:srcRect l="5342" t="25996" r="8761" b="51613"/>
                          <a:stretch/>
                        </pic:blipFill>
                        <pic:spPr bwMode="auto">
                          <a:xfrm>
                            <a:off x="0" y="0"/>
                            <a:ext cx="5105400" cy="749300"/>
                          </a:xfrm>
                          <a:prstGeom prst="rect">
                            <a:avLst/>
                          </a:prstGeom>
                          <a:ln>
                            <a:noFill/>
                          </a:ln>
                          <a:extLst>
                            <a:ext uri="{53640926-AAD7-44D8-BBD7-CCE9431645EC}">
                              <a14:shadowObscured xmlns:a14="http://schemas.microsoft.com/office/drawing/2010/main"/>
                            </a:ext>
                          </a:extLst>
                        </pic:spPr>
                      </pic:pic>
                    </a:graphicData>
                  </a:graphic>
                </wp:inline>
              </w:drawing>
            </w:r>
          </w:p>
        </w:tc>
      </w:tr>
      <w:tr w:rsidR="000C1ED9" w:rsidTr="005E7EFE">
        <w:tc>
          <w:tcPr>
            <w:tcW w:w="1418" w:type="dxa"/>
            <w:tcBorders>
              <w:top w:val="single" w:sz="4" w:space="0" w:color="auto"/>
              <w:left w:val="nil"/>
              <w:bottom w:val="nil"/>
              <w:right w:val="single" w:sz="4" w:space="0" w:color="FFFFFF" w:themeColor="background1"/>
            </w:tcBorders>
          </w:tcPr>
          <w:p w:rsidR="000C1ED9" w:rsidRPr="006648D6" w:rsidRDefault="000C1ED9" w:rsidP="005E4228">
            <w:pPr>
              <w:jc w:val="center"/>
              <w:rPr>
                <w:b/>
                <w:sz w:val="18"/>
                <w:szCs w:val="18"/>
              </w:rPr>
            </w:pPr>
            <w:r w:rsidRPr="006648D6">
              <w:rPr>
                <w:b/>
                <w:sz w:val="18"/>
                <w:szCs w:val="18"/>
              </w:rPr>
              <w:t>Study III</w:t>
            </w:r>
          </w:p>
          <w:p w:rsidR="000C1ED9" w:rsidRPr="006648D6" w:rsidRDefault="000C1ED9" w:rsidP="005E7EFE">
            <w:pPr>
              <w:jc w:val="center"/>
              <w:rPr>
                <w:b/>
                <w:sz w:val="18"/>
                <w:szCs w:val="18"/>
              </w:rPr>
            </w:pPr>
            <w:r w:rsidRPr="006648D6">
              <w:rPr>
                <w:b/>
                <w:sz w:val="18"/>
                <w:szCs w:val="18"/>
              </w:rPr>
              <w:t>August</w:t>
            </w:r>
            <w:r w:rsidR="005E7EFE">
              <w:rPr>
                <w:b/>
                <w:sz w:val="18"/>
                <w:szCs w:val="18"/>
              </w:rPr>
              <w:t xml:space="preserve"> </w:t>
            </w:r>
            <w:r w:rsidRPr="006648D6">
              <w:rPr>
                <w:b/>
                <w:sz w:val="18"/>
                <w:szCs w:val="18"/>
              </w:rPr>
              <w:t>2016</w:t>
            </w:r>
          </w:p>
        </w:tc>
        <w:tc>
          <w:tcPr>
            <w:tcW w:w="4197" w:type="dxa"/>
            <w:tcBorders>
              <w:top w:val="single" w:sz="4" w:space="0" w:color="auto"/>
              <w:left w:val="single" w:sz="4" w:space="0" w:color="FFFFFF" w:themeColor="background1"/>
              <w:bottom w:val="nil"/>
              <w:right w:val="single" w:sz="4" w:space="0" w:color="FFFFFF" w:themeColor="background1"/>
            </w:tcBorders>
          </w:tcPr>
          <w:p w:rsidR="005E7EFE" w:rsidRDefault="005E7EFE" w:rsidP="005E4228">
            <w:pPr>
              <w:jc w:val="center"/>
              <w:rPr>
                <w:sz w:val="18"/>
                <w:szCs w:val="18"/>
              </w:rPr>
            </w:pPr>
            <w:r>
              <w:rPr>
                <w:sz w:val="18"/>
                <w:szCs w:val="18"/>
              </w:rPr>
              <w:t>n=</w:t>
            </w:r>
            <w:r w:rsidR="009B3782">
              <w:rPr>
                <w:sz w:val="18"/>
                <w:szCs w:val="18"/>
              </w:rPr>
              <w:t>42</w:t>
            </w:r>
            <w:r w:rsidR="00C44985">
              <w:rPr>
                <w:sz w:val="18"/>
                <w:szCs w:val="18"/>
              </w:rPr>
              <w:t xml:space="preserve"> </w:t>
            </w:r>
            <w:r w:rsidR="00C44985" w:rsidRPr="00A974AA">
              <w:rPr>
                <w:sz w:val="18"/>
                <w:szCs w:val="18"/>
              </w:rPr>
              <w:t>(</w:t>
            </w:r>
            <w:r w:rsidR="009B3782">
              <w:rPr>
                <w:sz w:val="18"/>
                <w:szCs w:val="18"/>
              </w:rPr>
              <w:t>♂ 33, ♀</w:t>
            </w:r>
            <w:r w:rsidR="00C44985" w:rsidRPr="00A974AA">
              <w:rPr>
                <w:sz w:val="18"/>
                <w:szCs w:val="18"/>
              </w:rPr>
              <w:t xml:space="preserve"> </w:t>
            </w:r>
            <w:r w:rsidR="009B3782">
              <w:rPr>
                <w:sz w:val="18"/>
                <w:szCs w:val="18"/>
              </w:rPr>
              <w:t>9</w:t>
            </w:r>
            <w:r w:rsidR="00C44985" w:rsidRPr="00A974AA">
              <w:rPr>
                <w:sz w:val="18"/>
                <w:szCs w:val="18"/>
              </w:rPr>
              <w:t>)</w:t>
            </w:r>
          </w:p>
          <w:p w:rsidR="000C1ED9" w:rsidRPr="00A974AA" w:rsidRDefault="009B3782" w:rsidP="005E7EFE">
            <w:pPr>
              <w:jc w:val="center"/>
              <w:rPr>
                <w:sz w:val="18"/>
                <w:szCs w:val="18"/>
              </w:rPr>
            </w:pPr>
            <w:r>
              <w:rPr>
                <w:sz w:val="18"/>
                <w:szCs w:val="18"/>
              </w:rPr>
              <w:t>a</w:t>
            </w:r>
            <w:r w:rsidR="000C1ED9" w:rsidRPr="00A974AA">
              <w:rPr>
                <w:sz w:val="18"/>
                <w:szCs w:val="18"/>
              </w:rPr>
              <w:t xml:space="preserve">ge </w:t>
            </w:r>
            <w:r>
              <w:rPr>
                <w:sz w:val="18"/>
                <w:szCs w:val="18"/>
              </w:rPr>
              <w:t>30.7</w:t>
            </w:r>
            <w:r w:rsidR="000C1ED9" w:rsidRPr="00A974AA">
              <w:rPr>
                <w:sz w:val="18"/>
                <w:szCs w:val="18"/>
              </w:rPr>
              <w:t>±</w:t>
            </w:r>
            <w:r>
              <w:rPr>
                <w:sz w:val="18"/>
                <w:szCs w:val="18"/>
              </w:rPr>
              <w:t>8.6</w:t>
            </w:r>
            <w:r w:rsidR="005E7EFE">
              <w:rPr>
                <w:sz w:val="18"/>
                <w:szCs w:val="18"/>
              </w:rPr>
              <w:t xml:space="preserve">, </w:t>
            </w:r>
            <w:r w:rsidR="000C1ED9" w:rsidRPr="00A974AA">
              <w:rPr>
                <w:sz w:val="18"/>
                <w:szCs w:val="18"/>
              </w:rPr>
              <w:t>(min</w:t>
            </w:r>
            <w:r>
              <w:rPr>
                <w:sz w:val="18"/>
                <w:szCs w:val="18"/>
              </w:rPr>
              <w:t>. 22</w:t>
            </w:r>
            <w:r w:rsidR="000C1ED9" w:rsidRPr="00A974AA">
              <w:rPr>
                <w:sz w:val="18"/>
                <w:szCs w:val="18"/>
              </w:rPr>
              <w:t>, max</w:t>
            </w:r>
            <w:r>
              <w:rPr>
                <w:sz w:val="18"/>
                <w:szCs w:val="18"/>
              </w:rPr>
              <w:t>. 52</w:t>
            </w:r>
            <w:r w:rsidR="000C1ED9" w:rsidRPr="00A974AA">
              <w:rPr>
                <w:sz w:val="18"/>
                <w:szCs w:val="18"/>
              </w:rPr>
              <w:t>)</w:t>
            </w:r>
          </w:p>
        </w:tc>
        <w:tc>
          <w:tcPr>
            <w:tcW w:w="236" w:type="dxa"/>
            <w:tcBorders>
              <w:top w:val="single" w:sz="4" w:space="0" w:color="auto"/>
              <w:left w:val="single" w:sz="4" w:space="0" w:color="FFFFFF" w:themeColor="background1"/>
              <w:bottom w:val="nil"/>
              <w:right w:val="single" w:sz="4" w:space="0" w:color="FFFFFF" w:themeColor="background1"/>
            </w:tcBorders>
          </w:tcPr>
          <w:p w:rsidR="000C1ED9" w:rsidRPr="00A974AA" w:rsidRDefault="000C1ED9" w:rsidP="005E4228">
            <w:pPr>
              <w:jc w:val="center"/>
              <w:rPr>
                <w:sz w:val="18"/>
                <w:szCs w:val="18"/>
              </w:rPr>
            </w:pPr>
          </w:p>
        </w:tc>
        <w:tc>
          <w:tcPr>
            <w:tcW w:w="307" w:type="dxa"/>
            <w:tcBorders>
              <w:top w:val="single" w:sz="4" w:space="0" w:color="auto"/>
              <w:left w:val="single" w:sz="4" w:space="0" w:color="FFFFFF" w:themeColor="background1"/>
              <w:bottom w:val="nil"/>
              <w:right w:val="single" w:sz="4" w:space="0" w:color="FFFFFF" w:themeColor="background1"/>
            </w:tcBorders>
          </w:tcPr>
          <w:p w:rsidR="000C1ED9" w:rsidRPr="00A974AA" w:rsidRDefault="000C1ED9" w:rsidP="004010E2">
            <w:pPr>
              <w:rPr>
                <w:sz w:val="18"/>
                <w:szCs w:val="18"/>
              </w:rPr>
            </w:pPr>
          </w:p>
        </w:tc>
        <w:tc>
          <w:tcPr>
            <w:tcW w:w="3198" w:type="dxa"/>
            <w:tcBorders>
              <w:top w:val="single" w:sz="4" w:space="0" w:color="auto"/>
              <w:left w:val="single" w:sz="4" w:space="0" w:color="FFFFFF" w:themeColor="background1"/>
              <w:bottom w:val="nil"/>
              <w:right w:val="nil"/>
            </w:tcBorders>
          </w:tcPr>
          <w:p w:rsidR="000C1ED9" w:rsidRPr="00A974AA" w:rsidRDefault="005E7EFE" w:rsidP="005E4228">
            <w:pPr>
              <w:jc w:val="center"/>
              <w:rPr>
                <w:sz w:val="18"/>
                <w:szCs w:val="18"/>
              </w:rPr>
            </w:pPr>
            <w:r>
              <w:rPr>
                <w:sz w:val="18"/>
                <w:szCs w:val="18"/>
              </w:rPr>
              <w:t>N</w:t>
            </w:r>
            <w:r w:rsidR="00C44985">
              <w:rPr>
                <w:sz w:val="18"/>
                <w:szCs w:val="18"/>
              </w:rPr>
              <w:t>one</w:t>
            </w:r>
            <w:r>
              <w:rPr>
                <w:sz w:val="18"/>
                <w:szCs w:val="18"/>
              </w:rPr>
              <w:t>, CONT: control condition</w:t>
            </w:r>
          </w:p>
        </w:tc>
      </w:tr>
      <w:tr w:rsidR="000C1ED9" w:rsidTr="004010E2">
        <w:tc>
          <w:tcPr>
            <w:tcW w:w="9356" w:type="dxa"/>
            <w:gridSpan w:val="5"/>
            <w:tcBorders>
              <w:top w:val="nil"/>
              <w:left w:val="nil"/>
              <w:bottom w:val="single" w:sz="4" w:space="0" w:color="auto"/>
              <w:right w:val="nil"/>
            </w:tcBorders>
          </w:tcPr>
          <w:p w:rsidR="00A974AA" w:rsidRPr="0063318F" w:rsidRDefault="004A6D5F" w:rsidP="000476C6">
            <w:pPr>
              <w:rPr>
                <w:sz w:val="20"/>
              </w:rPr>
            </w:pPr>
            <w:r>
              <w:rPr>
                <w:noProof/>
                <w:sz w:val="20"/>
              </w:rPr>
              <w:drawing>
                <wp:inline distT="0" distB="0" distL="0" distR="0">
                  <wp:extent cx="3746500" cy="355600"/>
                  <wp:effectExtent l="0" t="0" r="635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ives.emf"/>
                          <pic:cNvPicPr/>
                        </pic:nvPicPr>
                        <pic:blipFill rotWithShape="1">
                          <a:blip r:embed="rId9">
                            <a:extLst>
                              <a:ext uri="{28A0092B-C50C-407E-A947-70E740481C1C}">
                                <a14:useLocalDpi xmlns:a14="http://schemas.microsoft.com/office/drawing/2010/main" val="0"/>
                              </a:ext>
                            </a:extLst>
                          </a:blip>
                          <a:srcRect l="5234" t="68311" r="31731" b="21063"/>
                          <a:stretch/>
                        </pic:blipFill>
                        <pic:spPr bwMode="auto">
                          <a:xfrm>
                            <a:off x="0" y="0"/>
                            <a:ext cx="3746500" cy="355600"/>
                          </a:xfrm>
                          <a:prstGeom prst="rect">
                            <a:avLst/>
                          </a:prstGeom>
                          <a:ln>
                            <a:noFill/>
                          </a:ln>
                          <a:extLst>
                            <a:ext uri="{53640926-AAD7-44D8-BBD7-CCE9431645EC}">
                              <a14:shadowObscured xmlns:a14="http://schemas.microsoft.com/office/drawing/2010/main"/>
                            </a:ext>
                          </a:extLst>
                        </pic:spPr>
                      </pic:pic>
                    </a:graphicData>
                  </a:graphic>
                </wp:inline>
              </w:drawing>
            </w:r>
          </w:p>
        </w:tc>
      </w:tr>
    </w:tbl>
    <w:p w:rsidR="000C1ED9" w:rsidRPr="00695159" w:rsidRDefault="000C1ED9" w:rsidP="000C1ED9">
      <w:pPr>
        <w:rPr>
          <w:sz w:val="18"/>
          <w:szCs w:val="18"/>
        </w:rPr>
      </w:pPr>
    </w:p>
    <w:p w:rsidR="00512BDE" w:rsidRDefault="00512BDE" w:rsidP="000C1ED9"/>
    <w:p w:rsidR="000C1ED9" w:rsidRDefault="000C1ED9" w:rsidP="00512BDE">
      <w:pPr>
        <w:jc w:val="center"/>
      </w:pPr>
      <w:r>
        <w:rPr>
          <w:noProof/>
        </w:rPr>
        <w:drawing>
          <wp:inline distT="0" distB="0" distL="0" distR="0" wp14:anchorId="22860399" wp14:editId="0A44CAF1">
            <wp:extent cx="2806995" cy="1783435"/>
            <wp:effectExtent l="0" t="0" r="0" b="762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4889.JPG"/>
                    <pic:cNvPicPr/>
                  </pic:nvPicPr>
                  <pic:blipFill rotWithShape="1">
                    <a:blip r:embed="rId10" cstate="print">
                      <a:extLst>
                        <a:ext uri="{28A0092B-C50C-407E-A947-70E740481C1C}">
                          <a14:useLocalDpi xmlns:a14="http://schemas.microsoft.com/office/drawing/2010/main" val="0"/>
                        </a:ext>
                      </a:extLst>
                    </a:blip>
                    <a:srcRect t="15286"/>
                    <a:stretch/>
                  </pic:blipFill>
                  <pic:spPr bwMode="auto">
                    <a:xfrm>
                      <a:off x="0" y="0"/>
                      <a:ext cx="2806995" cy="1783435"/>
                    </a:xfrm>
                    <a:prstGeom prst="rect">
                      <a:avLst/>
                    </a:prstGeom>
                    <a:ln>
                      <a:noFill/>
                    </a:ln>
                    <a:extLst>
                      <a:ext uri="{53640926-AAD7-44D8-BBD7-CCE9431645EC}">
                        <a14:shadowObscured xmlns:a14="http://schemas.microsoft.com/office/drawing/2010/main"/>
                      </a:ext>
                    </a:extLst>
                  </pic:spPr>
                </pic:pic>
              </a:graphicData>
            </a:graphic>
          </wp:inline>
        </w:drawing>
      </w:r>
    </w:p>
    <w:p w:rsidR="000C1ED9" w:rsidRPr="00890428" w:rsidRDefault="00512BDE" w:rsidP="00890428">
      <w:pPr>
        <w:pStyle w:val="FigureCaptionAATT2008"/>
        <w:spacing w:before="120"/>
        <w:rPr>
          <w:b/>
          <w:sz w:val="20"/>
        </w:rPr>
      </w:pPr>
      <w:r w:rsidRPr="004A2183">
        <w:rPr>
          <w:b/>
          <w:sz w:val="20"/>
        </w:rPr>
        <w:t xml:space="preserve">Figure 1. </w:t>
      </w:r>
      <w:r>
        <w:rPr>
          <w:b/>
          <w:sz w:val="20"/>
        </w:rPr>
        <w:t>Simulator setup</w:t>
      </w:r>
    </w:p>
    <w:p w:rsidR="000C1ED9" w:rsidRPr="00310BFF" w:rsidRDefault="000C1ED9" w:rsidP="000C1ED9">
      <w:pPr>
        <w:pStyle w:val="Heading2"/>
      </w:pPr>
      <w:r>
        <w:t xml:space="preserve">Signal </w:t>
      </w:r>
      <w:r w:rsidR="005E4228">
        <w:t>P</w:t>
      </w:r>
      <w:r>
        <w:t>rocessing</w:t>
      </w:r>
    </w:p>
    <w:p w:rsidR="000C1ED9" w:rsidRDefault="000C1ED9" w:rsidP="000C1ED9"/>
    <w:p w:rsidR="000C1ED9" w:rsidRDefault="00E76216" w:rsidP="000C1ED9">
      <w:r w:rsidRPr="00E76216">
        <w:rPr>
          <w:i/>
        </w:rPr>
        <w:t>Predictor variables.</w:t>
      </w:r>
      <w:r>
        <w:t xml:space="preserve"> </w:t>
      </w:r>
      <w:r w:rsidR="000C1ED9" w:rsidRPr="00264D94">
        <w:t>The data was processed and analyzed using Matlab 2013b</w:t>
      </w:r>
      <w:r w:rsidR="000C1ED9" w:rsidRPr="0010053A">
        <w:t xml:space="preserve"> </w:t>
      </w:r>
      <w:r w:rsidR="000C1ED9">
        <w:t>and the algorithm was developed with weka 3.6.13 (Hall et al.</w:t>
      </w:r>
      <w:r w:rsidR="00D6657C">
        <w:t>,</w:t>
      </w:r>
      <w:r w:rsidR="000C1ED9">
        <w:t xml:space="preserve"> 2009)</w:t>
      </w:r>
      <w:r w:rsidR="000C1ED9" w:rsidRPr="00264D94">
        <w:t xml:space="preserve">. </w:t>
      </w:r>
      <w:r w:rsidR="000C1ED9">
        <w:t>The different processing steps are visualized in Fig</w:t>
      </w:r>
      <w:r w:rsidR="006648D6">
        <w:t>ure 2</w:t>
      </w:r>
      <w:r w:rsidR="000C1ED9">
        <w:t xml:space="preserve">. </w:t>
      </w:r>
      <w:r w:rsidR="000C1ED9" w:rsidRPr="00264D94">
        <w:t>From the ECG recording</w:t>
      </w:r>
      <w:r w:rsidR="000C1ED9">
        <w:t>s</w:t>
      </w:r>
      <w:r w:rsidR="000C1ED9" w:rsidRPr="00264D94">
        <w:t xml:space="preserve"> the time domain </w:t>
      </w:r>
      <w:r w:rsidR="0099642E">
        <w:t>HRV</w:t>
      </w:r>
      <w:r w:rsidR="000C1ED9" w:rsidRPr="00264D94">
        <w:t xml:space="preserve"> measures SDNN (standard deviation of normal to normal intervals) and RMSSD (root mean square of successive differences) for the period of 3 minutes</w:t>
      </w:r>
      <w:r w:rsidR="00181D90">
        <w:t xml:space="preserve"> were extracted</w:t>
      </w:r>
      <w:r w:rsidR="000C1ED9" w:rsidRPr="00264D94">
        <w:t xml:space="preserve">. Furthermore, a spectral analyses of </w:t>
      </w:r>
      <w:r w:rsidR="008D02B2">
        <w:t xml:space="preserve">a </w:t>
      </w:r>
      <w:r w:rsidR="000C1ED9">
        <w:t xml:space="preserve">moving </w:t>
      </w:r>
      <w:r w:rsidR="000C1ED9" w:rsidRPr="00264D94">
        <w:t>3-minute sequence of interbeat intervals w</w:t>
      </w:r>
      <w:r w:rsidR="008D02B2">
        <w:t>as</w:t>
      </w:r>
      <w:r w:rsidR="000C1ED9" w:rsidRPr="00264D94">
        <w:t xml:space="preserve"> performed and the frequency domain HRV measures LF (low frequency component, 0.04-0.15 Hz)</w:t>
      </w:r>
      <w:r w:rsidR="000C1ED9">
        <w:t>,</w:t>
      </w:r>
      <w:r w:rsidR="000C1ED9" w:rsidRPr="00264D94">
        <w:t xml:space="preserve"> HF (high frequency component, 0.15-0.4 Hz) </w:t>
      </w:r>
      <w:r w:rsidR="000C1ED9">
        <w:t xml:space="preserve">and total power </w:t>
      </w:r>
      <w:r w:rsidR="000C1ED9" w:rsidRPr="00264D94">
        <w:t>were obtained.</w:t>
      </w:r>
      <w:r w:rsidR="00A974AA">
        <w:t xml:space="preserve"> </w:t>
      </w:r>
      <w:r w:rsidR="000C1ED9" w:rsidRPr="00264D94">
        <w:t xml:space="preserve">Pupil diameters of the left and right eye </w:t>
      </w:r>
      <w:r w:rsidR="000C1ED9">
        <w:t xml:space="preserve">were averaged for each subject. The </w:t>
      </w:r>
      <w:r w:rsidR="003247EF">
        <w:t>SCL</w:t>
      </w:r>
      <w:r w:rsidR="000C1ED9">
        <w:t xml:space="preserve"> as its raw value was used instead of its phasic and tonic component because of better classification accuracy. </w:t>
      </w:r>
    </w:p>
    <w:p w:rsidR="00867B6C" w:rsidRDefault="00867B6C" w:rsidP="000C1ED9"/>
    <w:p w:rsidR="00A974AA" w:rsidRPr="00A974AA" w:rsidRDefault="000C1ED9" w:rsidP="000C1ED9">
      <w:r>
        <w:t>To increase the classification accuracies</w:t>
      </w:r>
      <w:r w:rsidR="008D02B2">
        <w:t>,</w:t>
      </w:r>
      <w:r>
        <w:t xml:space="preserve"> the features were further transformed. Instead of using absolute values, we found that the relative changes of features compared to the first </w:t>
      </w:r>
      <w:r w:rsidR="005C3164">
        <w:t xml:space="preserve">driving </w:t>
      </w:r>
      <w:r>
        <w:lastRenderedPageBreak/>
        <w:t xml:space="preserve">minute </w:t>
      </w:r>
      <w:r w:rsidR="005C3164">
        <w:t xml:space="preserve">(third minute respectively for </w:t>
      </w:r>
      <w:r>
        <w:t>HRV measures) yields better results</w:t>
      </w:r>
      <w:r w:rsidR="00874887">
        <w:t xml:space="preserve"> (equations 1, 2 and 3)</w:t>
      </w:r>
      <w:r>
        <w:t xml:space="preserve">. </w:t>
      </w:r>
      <w:r w:rsidR="00A974AA">
        <w:t>Furthermore, the exponents of SDNN, HF</w:t>
      </w:r>
      <w:r w:rsidR="00A974AA">
        <w:rPr>
          <w:vertAlign w:val="subscript"/>
        </w:rPr>
        <w:t>rel</w:t>
      </w:r>
      <w:r w:rsidR="00A974AA">
        <w:t>, total power</w:t>
      </w:r>
      <w:r w:rsidR="00A974AA">
        <w:rPr>
          <w:vertAlign w:val="subscript"/>
        </w:rPr>
        <w:t>rel</w:t>
      </w:r>
      <w:r w:rsidR="00A974AA">
        <w:t>, SCL</w:t>
      </w:r>
      <w:r w:rsidR="00A974AA">
        <w:rPr>
          <w:vertAlign w:val="subscript"/>
        </w:rPr>
        <w:t>rel</w:t>
      </w:r>
      <w:r w:rsidR="00A974AA">
        <w:t xml:space="preserve"> and diameter</w:t>
      </w:r>
      <w:r w:rsidR="00A974AA">
        <w:rPr>
          <w:vertAlign w:val="subscript"/>
        </w:rPr>
        <w:t>rel</w:t>
      </w:r>
      <w:r w:rsidR="00A974AA">
        <w:t xml:space="preserve"> were adjusted.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8364"/>
        <w:gridCol w:w="992"/>
      </w:tblGrid>
      <w:tr w:rsidR="00A974AA" w:rsidTr="00571F96">
        <w:tc>
          <w:tcPr>
            <w:tcW w:w="8364" w:type="dxa"/>
          </w:tcPr>
          <w:p w:rsidR="00A974AA" w:rsidRPr="00EE59C7" w:rsidRDefault="00473743" w:rsidP="000525B2">
            <w:pPr>
              <w:jc w:val="center"/>
              <w:rPr>
                <w:rFonts w:eastAsiaTheme="minorEastAsia"/>
                <w:sz w:val="20"/>
              </w:rPr>
            </w:pPr>
            <m:oMathPara>
              <m:oMath>
                <m:sSub>
                  <m:sSubPr>
                    <m:ctrlPr>
                      <w:rPr>
                        <w:rFonts w:ascii="Cambria Math" w:hAnsi="Cambria Math"/>
                        <w:i/>
                        <w:sz w:val="20"/>
                      </w:rPr>
                    </m:ctrlPr>
                  </m:sSubPr>
                  <m:e>
                    <m:r>
                      <w:rPr>
                        <w:rFonts w:ascii="Cambria Math" w:hAnsi="Cambria Math"/>
                        <w:sz w:val="20"/>
                      </w:rPr>
                      <m:t>diameter</m:t>
                    </m:r>
                  </m:e>
                  <m:sub>
                    <m:r>
                      <w:rPr>
                        <w:rFonts w:ascii="Cambria Math" w:hAnsi="Cambria Math"/>
                        <w:sz w:val="20"/>
                      </w:rPr>
                      <m:t>rel</m:t>
                    </m:r>
                  </m:sub>
                </m:sSub>
                <m:d>
                  <m:dPr>
                    <m:ctrlPr>
                      <w:rPr>
                        <w:rFonts w:ascii="Cambria Math" w:hAnsi="Cambria Math"/>
                        <w:i/>
                        <w:sz w:val="20"/>
                      </w:rPr>
                    </m:ctrlPr>
                  </m:dPr>
                  <m:e>
                    <m:r>
                      <w:rPr>
                        <w:rFonts w:ascii="Cambria Math" w:hAnsi="Cambria Math"/>
                        <w:sz w:val="20"/>
                      </w:rPr>
                      <m:t>t</m:t>
                    </m:r>
                  </m:e>
                </m:d>
                <m:r>
                  <w:rPr>
                    <w:rFonts w:ascii="Cambria Math" w:hAnsi="Cambria Math"/>
                    <w:sz w:val="20"/>
                  </w:rPr>
                  <m:t>=</m:t>
                </m:r>
                <m:f>
                  <m:fPr>
                    <m:ctrlPr>
                      <w:rPr>
                        <w:rFonts w:ascii="Cambria Math" w:hAnsi="Cambria Math"/>
                        <w:i/>
                        <w:sz w:val="20"/>
                      </w:rPr>
                    </m:ctrlPr>
                  </m:fPr>
                  <m:num>
                    <m:r>
                      <w:rPr>
                        <w:rFonts w:ascii="Cambria Math" w:hAnsi="Cambria Math"/>
                        <w:sz w:val="20"/>
                      </w:rPr>
                      <m:t>diameter</m:t>
                    </m:r>
                    <m:d>
                      <m:dPr>
                        <m:ctrlPr>
                          <w:rPr>
                            <w:rFonts w:ascii="Cambria Math" w:hAnsi="Cambria Math"/>
                            <w:i/>
                            <w:sz w:val="20"/>
                          </w:rPr>
                        </m:ctrlPr>
                      </m:dPr>
                      <m:e>
                        <m:r>
                          <w:rPr>
                            <w:rFonts w:ascii="Cambria Math" w:hAnsi="Cambria Math"/>
                            <w:sz w:val="20"/>
                          </w:rPr>
                          <m:t>t</m:t>
                        </m:r>
                      </m:e>
                    </m:d>
                    <m:r>
                      <w:rPr>
                        <w:rFonts w:ascii="Cambria Math" w:hAnsi="Cambria Math"/>
                        <w:sz w:val="20"/>
                      </w:rPr>
                      <m:t>-diameter</m:t>
                    </m:r>
                    <m:d>
                      <m:dPr>
                        <m:ctrlPr>
                          <w:rPr>
                            <w:rFonts w:ascii="Cambria Math" w:hAnsi="Cambria Math"/>
                            <w:i/>
                            <w:sz w:val="20"/>
                          </w:rPr>
                        </m:ctrlPr>
                      </m:dPr>
                      <m:e>
                        <m:r>
                          <w:rPr>
                            <w:rFonts w:ascii="Cambria Math" w:hAnsi="Cambria Math"/>
                            <w:sz w:val="20"/>
                          </w:rPr>
                          <m:t>1</m:t>
                        </m:r>
                      </m:e>
                    </m:d>
                  </m:num>
                  <m:den>
                    <m:r>
                      <w:rPr>
                        <w:rFonts w:ascii="Cambria Math" w:hAnsi="Cambria Math"/>
                        <w:sz w:val="20"/>
                      </w:rPr>
                      <m:t>diameter</m:t>
                    </m:r>
                    <m:d>
                      <m:dPr>
                        <m:ctrlPr>
                          <w:rPr>
                            <w:rFonts w:ascii="Cambria Math" w:hAnsi="Cambria Math"/>
                            <w:i/>
                            <w:sz w:val="20"/>
                          </w:rPr>
                        </m:ctrlPr>
                      </m:dPr>
                      <m:e>
                        <m:r>
                          <w:rPr>
                            <w:rFonts w:ascii="Cambria Math" w:hAnsi="Cambria Math"/>
                            <w:sz w:val="20"/>
                          </w:rPr>
                          <m:t>1</m:t>
                        </m:r>
                      </m:e>
                    </m:d>
                  </m:den>
                </m:f>
                <m:r>
                  <w:rPr>
                    <w:rFonts w:ascii="Cambria Math" w:hAnsi="Cambria Math"/>
                    <w:sz w:val="20"/>
                  </w:rPr>
                  <m:t>, t…time [min]</m:t>
                </m:r>
              </m:oMath>
            </m:oMathPara>
          </w:p>
        </w:tc>
        <w:tc>
          <w:tcPr>
            <w:tcW w:w="992" w:type="dxa"/>
          </w:tcPr>
          <w:p w:rsidR="00A974AA" w:rsidRDefault="00A974AA" w:rsidP="000C1ED9">
            <w:pPr>
              <w:rPr>
                <w:rFonts w:eastAsiaTheme="minorEastAsia"/>
              </w:rPr>
            </w:pPr>
            <w:r>
              <w:rPr>
                <w:rFonts w:eastAsiaTheme="minorEastAsia"/>
              </w:rPr>
              <w:t>(1)</w:t>
            </w:r>
          </w:p>
        </w:tc>
      </w:tr>
      <w:tr w:rsidR="00A974AA" w:rsidTr="00571F96">
        <w:tc>
          <w:tcPr>
            <w:tcW w:w="8364" w:type="dxa"/>
          </w:tcPr>
          <w:p w:rsidR="00A974AA" w:rsidRPr="00EE59C7" w:rsidRDefault="00473743" w:rsidP="00A974AA">
            <w:pPr>
              <w:jc w:val="center"/>
              <w:rPr>
                <w:rFonts w:eastAsiaTheme="minorEastAsia"/>
                <w:sz w:val="20"/>
              </w:rPr>
            </w:pPr>
            <m:oMathPara>
              <m:oMath>
                <m:sSub>
                  <m:sSubPr>
                    <m:ctrlPr>
                      <w:rPr>
                        <w:rFonts w:ascii="Cambria Math" w:hAnsi="Cambria Math"/>
                        <w:i/>
                        <w:sz w:val="20"/>
                      </w:rPr>
                    </m:ctrlPr>
                  </m:sSubPr>
                  <m:e>
                    <m:r>
                      <w:rPr>
                        <w:rFonts w:ascii="Cambria Math" w:hAnsi="Cambria Math"/>
                        <w:sz w:val="20"/>
                      </w:rPr>
                      <m:t>SCL</m:t>
                    </m:r>
                  </m:e>
                  <m:sub>
                    <m:r>
                      <w:rPr>
                        <w:rFonts w:ascii="Cambria Math" w:hAnsi="Cambria Math"/>
                        <w:sz w:val="20"/>
                      </w:rPr>
                      <m:t>rel</m:t>
                    </m:r>
                  </m:sub>
                </m:sSub>
                <m:d>
                  <m:dPr>
                    <m:ctrlPr>
                      <w:rPr>
                        <w:rFonts w:ascii="Cambria Math" w:hAnsi="Cambria Math"/>
                        <w:i/>
                        <w:sz w:val="20"/>
                      </w:rPr>
                    </m:ctrlPr>
                  </m:dPr>
                  <m:e>
                    <m:r>
                      <w:rPr>
                        <w:rFonts w:ascii="Cambria Math" w:hAnsi="Cambria Math"/>
                        <w:sz w:val="20"/>
                      </w:rPr>
                      <m:t>t</m:t>
                    </m:r>
                  </m:e>
                </m:d>
                <m:r>
                  <w:rPr>
                    <w:rFonts w:ascii="Cambria Math" w:hAnsi="Cambria Math"/>
                    <w:sz w:val="20"/>
                  </w:rPr>
                  <m:t>=</m:t>
                </m:r>
                <m:f>
                  <m:fPr>
                    <m:ctrlPr>
                      <w:rPr>
                        <w:rFonts w:ascii="Cambria Math" w:hAnsi="Cambria Math"/>
                        <w:i/>
                        <w:sz w:val="20"/>
                      </w:rPr>
                    </m:ctrlPr>
                  </m:fPr>
                  <m:num>
                    <m:r>
                      <w:rPr>
                        <w:rFonts w:ascii="Cambria Math" w:hAnsi="Cambria Math"/>
                        <w:sz w:val="20"/>
                      </w:rPr>
                      <m:t>SCL</m:t>
                    </m:r>
                    <m:d>
                      <m:dPr>
                        <m:ctrlPr>
                          <w:rPr>
                            <w:rFonts w:ascii="Cambria Math" w:hAnsi="Cambria Math"/>
                            <w:i/>
                            <w:sz w:val="20"/>
                          </w:rPr>
                        </m:ctrlPr>
                      </m:dPr>
                      <m:e>
                        <m:r>
                          <w:rPr>
                            <w:rFonts w:ascii="Cambria Math" w:hAnsi="Cambria Math"/>
                            <w:sz w:val="20"/>
                          </w:rPr>
                          <m:t>t</m:t>
                        </m:r>
                      </m:e>
                    </m:d>
                    <m:r>
                      <w:rPr>
                        <w:rFonts w:ascii="Cambria Math" w:hAnsi="Cambria Math"/>
                        <w:sz w:val="20"/>
                      </w:rPr>
                      <m:t>-SCL</m:t>
                    </m:r>
                    <m:d>
                      <m:dPr>
                        <m:ctrlPr>
                          <w:rPr>
                            <w:rFonts w:ascii="Cambria Math" w:hAnsi="Cambria Math"/>
                            <w:i/>
                            <w:sz w:val="20"/>
                          </w:rPr>
                        </m:ctrlPr>
                      </m:dPr>
                      <m:e>
                        <m:r>
                          <w:rPr>
                            <w:rFonts w:ascii="Cambria Math" w:hAnsi="Cambria Math"/>
                            <w:sz w:val="20"/>
                          </w:rPr>
                          <m:t>1</m:t>
                        </m:r>
                      </m:e>
                    </m:d>
                  </m:num>
                  <m:den>
                    <m:r>
                      <w:rPr>
                        <w:rFonts w:ascii="Cambria Math" w:hAnsi="Cambria Math"/>
                        <w:sz w:val="20"/>
                      </w:rPr>
                      <m:t>SCL</m:t>
                    </m:r>
                    <m:d>
                      <m:dPr>
                        <m:ctrlPr>
                          <w:rPr>
                            <w:rFonts w:ascii="Cambria Math" w:hAnsi="Cambria Math"/>
                            <w:i/>
                            <w:sz w:val="20"/>
                          </w:rPr>
                        </m:ctrlPr>
                      </m:dPr>
                      <m:e>
                        <m:r>
                          <w:rPr>
                            <w:rFonts w:ascii="Cambria Math" w:hAnsi="Cambria Math"/>
                            <w:sz w:val="20"/>
                          </w:rPr>
                          <m:t>1</m:t>
                        </m:r>
                      </m:e>
                    </m:d>
                  </m:den>
                </m:f>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HRV</m:t>
                    </m:r>
                  </m:e>
                  <m:sub>
                    <m:r>
                      <w:rPr>
                        <w:rFonts w:ascii="Cambria Math" w:hAnsi="Cambria Math"/>
                        <w:sz w:val="20"/>
                      </w:rPr>
                      <m:t>rel</m:t>
                    </m:r>
                  </m:sub>
                </m:sSub>
                <m:r>
                  <w:rPr>
                    <w:rFonts w:ascii="Cambria Math" w:hAnsi="Cambria Math"/>
                    <w:sz w:val="20"/>
                  </w:rPr>
                  <m:t>(t)=</m:t>
                </m:r>
                <m:f>
                  <m:fPr>
                    <m:ctrlPr>
                      <w:rPr>
                        <w:rFonts w:ascii="Cambria Math" w:hAnsi="Cambria Math"/>
                        <w:i/>
                        <w:sz w:val="20"/>
                      </w:rPr>
                    </m:ctrlPr>
                  </m:fPr>
                  <m:num>
                    <m:r>
                      <w:rPr>
                        <w:rFonts w:ascii="Cambria Math" w:hAnsi="Cambria Math"/>
                        <w:sz w:val="20"/>
                      </w:rPr>
                      <m:t>HRV</m:t>
                    </m:r>
                    <m:d>
                      <m:dPr>
                        <m:ctrlPr>
                          <w:rPr>
                            <w:rFonts w:ascii="Cambria Math" w:hAnsi="Cambria Math"/>
                            <w:i/>
                            <w:sz w:val="20"/>
                          </w:rPr>
                        </m:ctrlPr>
                      </m:dPr>
                      <m:e>
                        <m:r>
                          <w:rPr>
                            <w:rFonts w:ascii="Cambria Math" w:hAnsi="Cambria Math"/>
                            <w:sz w:val="20"/>
                          </w:rPr>
                          <m:t>t</m:t>
                        </m:r>
                      </m:e>
                    </m:d>
                    <m:r>
                      <w:rPr>
                        <w:rFonts w:ascii="Cambria Math" w:hAnsi="Cambria Math"/>
                        <w:sz w:val="20"/>
                      </w:rPr>
                      <m:t>-HRV(3)</m:t>
                    </m:r>
                  </m:num>
                  <m:den>
                    <m:r>
                      <w:rPr>
                        <w:rFonts w:ascii="Cambria Math" w:hAnsi="Cambria Math"/>
                        <w:sz w:val="20"/>
                      </w:rPr>
                      <m:t>HRV(3)</m:t>
                    </m:r>
                  </m:den>
                </m:f>
              </m:oMath>
            </m:oMathPara>
          </w:p>
        </w:tc>
        <w:tc>
          <w:tcPr>
            <w:tcW w:w="992" w:type="dxa"/>
          </w:tcPr>
          <w:p w:rsidR="00A974AA" w:rsidRDefault="00A974AA" w:rsidP="00571F96">
            <w:pPr>
              <w:rPr>
                <w:rFonts w:eastAsiaTheme="minorEastAsia"/>
              </w:rPr>
            </w:pPr>
            <w:r>
              <w:rPr>
                <w:rFonts w:eastAsiaTheme="minorEastAsia"/>
              </w:rPr>
              <w:t>(2)</w:t>
            </w:r>
            <w:r w:rsidR="00571F96">
              <w:rPr>
                <w:rFonts w:eastAsiaTheme="minorEastAsia"/>
              </w:rPr>
              <w:t>, (3)</w:t>
            </w:r>
          </w:p>
        </w:tc>
      </w:tr>
    </w:tbl>
    <w:p w:rsidR="002D2FBE" w:rsidRDefault="00E76216" w:rsidP="000C1ED9">
      <w:r w:rsidRPr="00E76216">
        <w:rPr>
          <w:i/>
        </w:rPr>
        <w:t>Labels.</w:t>
      </w:r>
      <w:r>
        <w:t xml:space="preserve"> </w:t>
      </w:r>
      <w:r w:rsidR="000C1ED9">
        <w:t xml:space="preserve">The responses of the subjects in the KSS and SSS were used for labeling. The corresponding predictor variables are the values of the adjusted features </w:t>
      </w:r>
      <w:r w:rsidR="008F2A04">
        <w:t>of the minute before the subjective rating (e.g. the KSS rating after 16 minutes was matched with the features from the 16</w:t>
      </w:r>
      <w:r w:rsidR="008F2A04" w:rsidRPr="008F2A04">
        <w:rPr>
          <w:vertAlign w:val="superscript"/>
        </w:rPr>
        <w:t>th</w:t>
      </w:r>
      <w:r w:rsidR="008F2A04">
        <w:t xml:space="preserve"> minute)</w:t>
      </w:r>
      <w:r w:rsidR="000C1ED9">
        <w:t>.</w:t>
      </w:r>
      <w:r w:rsidR="00512BDE">
        <w:t xml:space="preserve"> </w:t>
      </w:r>
      <w:r w:rsidR="000C1ED9">
        <w:t>The classes “awake” and “sleepy” were formed by means of the subjective sleepiness rankings in the following way:</w:t>
      </w:r>
      <w:r w:rsidR="00774BA4">
        <w:t xml:space="preserve"> </w:t>
      </w:r>
      <w:r w:rsidR="008D02B2">
        <w:t>d</w:t>
      </w:r>
      <w:r w:rsidR="000C1ED9">
        <w:t xml:space="preserve">ata observations </w:t>
      </w:r>
      <w:r w:rsidR="00512BDE">
        <w:t xml:space="preserve">with </w:t>
      </w:r>
      <w:r w:rsidR="000C1ED9">
        <w:t>KSS-values of 1, 2, 3 and 4 as well as SSS</w:t>
      </w:r>
      <w:r w:rsidR="00512BDE">
        <w:t>-</w:t>
      </w:r>
      <w:r w:rsidR="000C1ED9">
        <w:t>values of 1, 2 and 3 formed class 1 – “awake”</w:t>
      </w:r>
      <w:r w:rsidR="00774BA4">
        <w:t xml:space="preserve">. </w:t>
      </w:r>
      <w:r w:rsidR="000C1ED9">
        <w:t xml:space="preserve">Data observations </w:t>
      </w:r>
      <w:r w:rsidR="00512BDE">
        <w:t xml:space="preserve">with </w:t>
      </w:r>
      <w:r w:rsidR="000C1ED9">
        <w:t>KSS-values of 8 and 9 as well as SSS</w:t>
      </w:r>
      <w:r w:rsidR="00512BDE">
        <w:t>-</w:t>
      </w:r>
      <w:r w:rsidR="000C1ED9">
        <w:t>values of 6 and 7 formed class 2 – “sleepy”</w:t>
      </w:r>
      <w:r w:rsidR="00774BA4">
        <w:t>.</w:t>
      </w:r>
      <w:r w:rsidR="00A974AA">
        <w:t xml:space="preserve"> </w:t>
      </w:r>
      <w:r w:rsidR="000C1ED9">
        <w:t>T</w:t>
      </w:r>
      <w:r w:rsidR="00423FED">
        <w:t>his way</w:t>
      </w:r>
      <w:r w:rsidR="008D02B2">
        <w:t>,</w:t>
      </w:r>
      <w:r w:rsidR="00423FED">
        <w:t xml:space="preserve"> a total data set of 171</w:t>
      </w:r>
      <w:r w:rsidR="000C1ED9">
        <w:t xml:space="preserve"> observations from 88 different drivers was generated. The dataset includes 85 observations of awake drivers and 86 observations of tired drivers.</w:t>
      </w:r>
    </w:p>
    <w:p w:rsidR="00E626C8" w:rsidRDefault="00E626C8" w:rsidP="000C1ED9"/>
    <w:p w:rsidR="000C1ED9" w:rsidRDefault="00A53787" w:rsidP="00C721DB">
      <w:pPr>
        <w:jc w:val="center"/>
      </w:pPr>
      <w:r>
        <w:rPr>
          <w:noProof/>
        </w:rPr>
        <w:drawing>
          <wp:inline distT="0" distB="0" distL="0" distR="0">
            <wp:extent cx="5504213" cy="2114500"/>
            <wp:effectExtent l="0" t="0" r="1270" b="63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al_processing.emf"/>
                    <pic:cNvPicPr/>
                  </pic:nvPicPr>
                  <pic:blipFill rotWithShape="1">
                    <a:blip r:embed="rId11">
                      <a:extLst>
                        <a:ext uri="{28A0092B-C50C-407E-A947-70E740481C1C}">
                          <a14:useLocalDpi xmlns:a14="http://schemas.microsoft.com/office/drawing/2010/main" val="0"/>
                        </a:ext>
                      </a:extLst>
                    </a:blip>
                    <a:srcRect l="5170" t="9399" r="1907" b="27199"/>
                    <a:stretch/>
                  </pic:blipFill>
                  <pic:spPr bwMode="auto">
                    <a:xfrm>
                      <a:off x="0" y="0"/>
                      <a:ext cx="5538281" cy="2127588"/>
                    </a:xfrm>
                    <a:prstGeom prst="rect">
                      <a:avLst/>
                    </a:prstGeom>
                    <a:ln>
                      <a:noFill/>
                    </a:ln>
                    <a:extLst>
                      <a:ext uri="{53640926-AAD7-44D8-BBD7-CCE9431645EC}">
                        <a14:shadowObscured xmlns:a14="http://schemas.microsoft.com/office/drawing/2010/main"/>
                      </a:ext>
                    </a:extLst>
                  </pic:spPr>
                </pic:pic>
              </a:graphicData>
            </a:graphic>
          </wp:inline>
        </w:drawing>
      </w:r>
    </w:p>
    <w:p w:rsidR="00874887" w:rsidRPr="00E34B32" w:rsidRDefault="00A974AA" w:rsidP="00E34B32">
      <w:pPr>
        <w:pStyle w:val="FigureCaptionAATT2008"/>
        <w:spacing w:before="120"/>
        <w:rPr>
          <w:b/>
          <w:sz w:val="20"/>
        </w:rPr>
      </w:pPr>
      <w:r w:rsidRPr="004A2183">
        <w:rPr>
          <w:b/>
          <w:sz w:val="20"/>
        </w:rPr>
        <w:t xml:space="preserve">Figure </w:t>
      </w:r>
      <w:r>
        <w:rPr>
          <w:b/>
          <w:sz w:val="20"/>
        </w:rPr>
        <w:t>2</w:t>
      </w:r>
      <w:r w:rsidRPr="004A2183">
        <w:rPr>
          <w:b/>
          <w:sz w:val="20"/>
        </w:rPr>
        <w:t xml:space="preserve">. </w:t>
      </w:r>
      <w:r>
        <w:rPr>
          <w:b/>
          <w:sz w:val="20"/>
        </w:rPr>
        <w:t>Signal processin</w:t>
      </w:r>
      <w:r w:rsidR="00E34B32">
        <w:rPr>
          <w:b/>
          <w:sz w:val="20"/>
        </w:rPr>
        <w:t>g</w:t>
      </w:r>
    </w:p>
    <w:p w:rsidR="001D787E" w:rsidRPr="00310BFF" w:rsidRDefault="001D787E" w:rsidP="001D787E">
      <w:pPr>
        <w:pStyle w:val="Heading2"/>
      </w:pPr>
      <w:r>
        <w:t>Algorithm</w:t>
      </w:r>
    </w:p>
    <w:p w:rsidR="001D787E" w:rsidRDefault="001D787E" w:rsidP="001D787E"/>
    <w:p w:rsidR="001D787E" w:rsidRDefault="001D787E" w:rsidP="001D787E">
      <w:r>
        <w:t xml:space="preserve">The detection of sleepiness can be handled in two different ways: classification or regression. This is possible because the classes 1 and 2 do not only describe nominal classes (awake and sleepy) but can also serve as numeric values for the degree of sleepiness, allowing for regression approaches. </w:t>
      </w:r>
      <w:r w:rsidR="00CC38B1">
        <w:t>Regression approaches often fail to</w:t>
      </w:r>
      <w:r>
        <w:t xml:space="preserve"> model </w:t>
      </w:r>
      <w:r w:rsidR="00CC38B1">
        <w:t xml:space="preserve">the individual differences in prediction problems </w:t>
      </w:r>
      <w:r>
        <w:t xml:space="preserve">because the prediction is often </w:t>
      </w:r>
      <w:r w:rsidR="00BF47CE">
        <w:t>approximating</w:t>
      </w:r>
      <w:r>
        <w:t xml:space="preserve"> the mean of all </w:t>
      </w:r>
      <w:r w:rsidR="00423FED">
        <w:t>label</w:t>
      </w:r>
      <w:r>
        <w:t>s. Therefore we chose a classification approach over regression in the first step</w:t>
      </w:r>
      <w:r w:rsidR="00A74CEB">
        <w:t xml:space="preserve"> to distin</w:t>
      </w:r>
      <w:r w:rsidR="008D02B2">
        <w:t>guish</w:t>
      </w:r>
      <w:r w:rsidR="00A74CEB">
        <w:t xml:space="preserve"> the separate classes</w:t>
      </w:r>
      <w:r>
        <w:t>. To improve the sensitivity of the prediction results</w:t>
      </w:r>
      <w:r w:rsidR="00A74CEB">
        <w:t xml:space="preserve"> to external stimuli</w:t>
      </w:r>
      <w:r>
        <w:t>, a linear regression model with the inputs diameter</w:t>
      </w:r>
      <w:r>
        <w:rPr>
          <w:vertAlign w:val="subscript"/>
        </w:rPr>
        <w:t>rel</w:t>
      </w:r>
      <w:r>
        <w:rPr>
          <w:vertAlign w:val="superscript"/>
        </w:rPr>
        <w:t xml:space="preserve"> </w:t>
      </w:r>
      <w:r>
        <w:t xml:space="preserve">and the class values was developed in the second step. </w:t>
      </w:r>
    </w:p>
    <w:p w:rsidR="004A36B5" w:rsidRDefault="004A36B5" w:rsidP="001D787E"/>
    <w:p w:rsidR="000C1ED9" w:rsidRDefault="000C1ED9" w:rsidP="000C1ED9">
      <w:pPr>
        <w:pStyle w:val="Heading1"/>
      </w:pPr>
      <w:r>
        <w:t>results</w:t>
      </w:r>
    </w:p>
    <w:p w:rsidR="004A36B5" w:rsidRPr="004A36B5" w:rsidRDefault="004A36B5" w:rsidP="004A36B5"/>
    <w:p w:rsidR="00890428" w:rsidRDefault="00890428" w:rsidP="00890428">
      <w:r>
        <w:t xml:space="preserve">After comparing several </w:t>
      </w:r>
      <w:r w:rsidR="00743B2A">
        <w:t>classification</w:t>
      </w:r>
      <w:r>
        <w:t xml:space="preserve"> algorithms we found that the logistic regression </w:t>
      </w:r>
      <w:r w:rsidR="00743B2A">
        <w:t xml:space="preserve">classifier </w:t>
      </w:r>
      <w:r>
        <w:t xml:space="preserve">performed the best. The logistic regression model was developed using a 10-fold-cross-validation on the 171 observations. The logistic regression function is given by equations (4) and (5) </w:t>
      </w:r>
      <w:r w:rsidR="00C721DB">
        <w:t>with</w:t>
      </w:r>
      <w:r>
        <w:t xml:space="preserve"> </w:t>
      </w:r>
      <w:r w:rsidR="00C721DB">
        <w:t>a</w:t>
      </w:r>
      <w:r>
        <w:t xml:space="preserve"> coefficient vector </w:t>
      </w:r>
      <w:r w:rsidRPr="00890428">
        <w:t>(a,</w:t>
      </w:r>
      <w:r w:rsidR="00C721DB">
        <w:t xml:space="preserve"> </w:t>
      </w:r>
      <w:r w:rsidRPr="00890428">
        <w:t>b,</w:t>
      </w:r>
      <w:r w:rsidR="00C721DB">
        <w:t xml:space="preserve"> </w:t>
      </w:r>
      <w:r w:rsidRPr="00890428">
        <w:t>c,</w:t>
      </w:r>
      <w:r w:rsidR="00C721DB">
        <w:t xml:space="preserve"> </w:t>
      </w:r>
      <w:r w:rsidRPr="00890428">
        <w:t>d,</w:t>
      </w:r>
      <w:r w:rsidR="00C721DB">
        <w:t xml:space="preserve"> </w:t>
      </w:r>
      <w:r w:rsidRPr="00890428">
        <w:t>e,</w:t>
      </w:r>
      <w:r w:rsidR="00C721DB">
        <w:t xml:space="preserve"> </w:t>
      </w:r>
      <w:r w:rsidRPr="00890428">
        <w:t>f,</w:t>
      </w:r>
      <w:r w:rsidR="00C721DB">
        <w:t xml:space="preserve"> </w:t>
      </w:r>
      <w:r w:rsidRPr="00890428">
        <w:t>g,</w:t>
      </w:r>
      <w:r w:rsidR="00C721DB">
        <w:t xml:space="preserve"> </w:t>
      </w:r>
      <w:r w:rsidRPr="00890428">
        <w:t>h</w:t>
      </w:r>
      <w:r w:rsidR="000476C6">
        <w:t>, i</w:t>
      </w:r>
      <w:r w:rsidRPr="00890428">
        <w:t>)</w:t>
      </w:r>
      <w:r w:rsidR="00C721DB">
        <w:t xml:space="preserve"> </w:t>
      </w:r>
      <w:r w:rsidR="00805417">
        <w:t>of</w:t>
      </w:r>
      <w:r w:rsidR="00C721DB">
        <w:t xml:space="preserve"> </w:t>
      </w:r>
      <w:r w:rsidR="00867B6C">
        <w:t xml:space="preserve"> </w:t>
      </w:r>
      <w:r w:rsidRPr="00890428">
        <w:t>(8.4∙10</w:t>
      </w:r>
      <w:r w:rsidR="00C721DB" w:rsidRPr="00C721DB">
        <w:rPr>
          <w:vertAlign w:val="superscript"/>
        </w:rPr>
        <w:t>-5</w:t>
      </w:r>
      <w:r w:rsidRPr="00890428">
        <w:t>,</w:t>
      </w:r>
      <w:r w:rsidR="00C721DB">
        <w:t xml:space="preserve"> </w:t>
      </w:r>
      <w:r w:rsidRPr="00890428">
        <w:t>0.81,</w:t>
      </w:r>
      <w:r w:rsidR="00C721DB">
        <w:t xml:space="preserve"> </w:t>
      </w:r>
      <w:r w:rsidRPr="00890428">
        <w:t>-0.84,</w:t>
      </w:r>
      <w:r w:rsidR="00C721DB">
        <w:t xml:space="preserve"> </w:t>
      </w:r>
      <w:r w:rsidRPr="00890428">
        <w:t>0.16,</w:t>
      </w:r>
      <w:r w:rsidR="00C721DB">
        <w:t xml:space="preserve"> </w:t>
      </w:r>
      <w:r w:rsidRPr="00890428">
        <w:t>-6.5∙10</w:t>
      </w:r>
      <w:r w:rsidR="00C721DB" w:rsidRPr="00C721DB">
        <w:rPr>
          <w:vertAlign w:val="superscript"/>
        </w:rPr>
        <w:t>-7</w:t>
      </w:r>
      <w:r w:rsidRPr="00890428">
        <w:t>,</w:t>
      </w:r>
      <w:r w:rsidR="00C721DB">
        <w:t xml:space="preserve"> </w:t>
      </w:r>
      <w:r w:rsidRPr="00890428">
        <w:lastRenderedPageBreak/>
        <w:t>4.1∙10</w:t>
      </w:r>
      <w:r w:rsidRPr="00C721DB">
        <w:rPr>
          <w:vertAlign w:val="superscript"/>
        </w:rPr>
        <w:t>-3</w:t>
      </w:r>
      <w:r w:rsidRPr="00890428">
        <w:t>,</w:t>
      </w:r>
      <w:r w:rsidR="00C721DB">
        <w:t xml:space="preserve"> </w:t>
      </w:r>
      <w:r w:rsidRPr="00890428">
        <w:t>4.6,</w:t>
      </w:r>
      <w:r w:rsidR="00C721DB">
        <w:t xml:space="preserve"> </w:t>
      </w:r>
      <w:r w:rsidRPr="00890428">
        <w:t>-6.6</w:t>
      </w:r>
      <w:r w:rsidR="003247EF">
        <w:t>, 0.45</w:t>
      </w:r>
      <w:r w:rsidR="00C721DB">
        <w:t>).</w:t>
      </w:r>
      <w:r>
        <w:t xml:space="preserve"> Th</w:t>
      </w:r>
      <w:r w:rsidR="00BC3439">
        <w:t xml:space="preserve">e classification accuracy is </w:t>
      </w:r>
      <w:r>
        <w:t xml:space="preserve">77.19%, with a ROC </w:t>
      </w:r>
      <w:r w:rsidR="00805417">
        <w:t>a</w:t>
      </w:r>
      <w:r>
        <w:t xml:space="preserve">rea of 0.781 for both classes. </w:t>
      </w:r>
      <w:r w:rsidR="007E7B8E">
        <w:t xml:space="preserve">Figure 3 shows that a total of 92 observations were classified as awake and 79 as sleepy. </w:t>
      </w:r>
      <w:r w:rsidR="00A74CEB">
        <w:t>The</w:t>
      </w:r>
      <w:r>
        <w:t xml:space="preserve"> confusion matrix</w:t>
      </w:r>
      <w:r w:rsidR="00A74CEB" w:rsidRPr="00A74CEB">
        <w:t xml:space="preserve"> </w:t>
      </w:r>
      <w:r w:rsidR="00A74CEB">
        <w:t>i</w:t>
      </w:r>
      <w:r w:rsidR="007E7B8E">
        <w:t>s shown in</w:t>
      </w:r>
      <w:r w:rsidR="00A74CEB">
        <w:t xml:space="preserve"> Table 2</w:t>
      </w:r>
      <w:r w:rsidR="007E7B8E">
        <w:t>.</w:t>
      </w:r>
      <w:r w:rsidR="00A74CE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28" w:type="dxa"/>
          <w:bottom w:w="57" w:type="dxa"/>
          <w:right w:w="28" w:type="dxa"/>
        </w:tblCellMar>
        <w:tblLook w:val="04A0" w:firstRow="1" w:lastRow="0" w:firstColumn="1" w:lastColumn="0" w:noHBand="0" w:noVBand="1"/>
      </w:tblPr>
      <w:tblGrid>
        <w:gridCol w:w="8926"/>
        <w:gridCol w:w="424"/>
      </w:tblGrid>
      <w:tr w:rsidR="00890428" w:rsidTr="000476C6">
        <w:tc>
          <w:tcPr>
            <w:tcW w:w="8926" w:type="dxa"/>
          </w:tcPr>
          <w:p w:rsidR="00890428" w:rsidRPr="00EE59C7" w:rsidRDefault="00890428" w:rsidP="000476C6">
            <w:pPr>
              <w:jc w:val="center"/>
              <w:rPr>
                <w:rFonts w:eastAsiaTheme="minorEastAsia"/>
                <w:sz w:val="20"/>
              </w:rPr>
            </w:pPr>
            <m:oMathPara>
              <m:oMath>
                <m:r>
                  <w:rPr>
                    <w:rFonts w:ascii="Cambria Math" w:hAnsi="Cambria Math"/>
                    <w:sz w:val="20"/>
                  </w:rPr>
                  <m:t>probabilty of class 1 =</m:t>
                </m:r>
                <m:f>
                  <m:fPr>
                    <m:ctrlPr>
                      <w:rPr>
                        <w:rFonts w:ascii="Cambria Math" w:hAnsi="Cambria Math"/>
                        <w:i/>
                        <w:sz w:val="20"/>
                      </w:rPr>
                    </m:ctrlPr>
                  </m:fPr>
                  <m:num>
                    <m:r>
                      <w:rPr>
                        <w:rFonts w:ascii="Cambria Math" w:hAnsi="Cambria Math"/>
                        <w:sz w:val="20"/>
                      </w:rPr>
                      <m:t>1</m:t>
                    </m:r>
                  </m:num>
                  <m:den>
                    <m:r>
                      <w:rPr>
                        <w:rFonts w:ascii="Cambria Math" w:hAnsi="Cambria Math"/>
                        <w:sz w:val="20"/>
                      </w:rPr>
                      <m:t>1+</m:t>
                    </m:r>
                    <m:r>
                      <m:rPr>
                        <m:sty m:val="p"/>
                      </m:rPr>
                      <w:rPr>
                        <w:rFonts w:ascii="Cambria Math" w:hAnsi="Cambria Math"/>
                        <w:sz w:val="20"/>
                      </w:rPr>
                      <m:t>exp⁡</m:t>
                    </m:r>
                    <m:r>
                      <w:rPr>
                        <w:rFonts w:ascii="Cambria Math" w:hAnsi="Cambria Math"/>
                        <w:sz w:val="20"/>
                      </w:rPr>
                      <m:t>(-x)</m:t>
                    </m:r>
                  </m:den>
                </m:f>
              </m:oMath>
            </m:oMathPara>
          </w:p>
        </w:tc>
        <w:tc>
          <w:tcPr>
            <w:tcW w:w="424" w:type="dxa"/>
          </w:tcPr>
          <w:p w:rsidR="00890428" w:rsidRDefault="00890428" w:rsidP="000476C6">
            <w:pPr>
              <w:rPr>
                <w:rFonts w:eastAsiaTheme="minorEastAsia"/>
              </w:rPr>
            </w:pPr>
            <w:r>
              <w:rPr>
                <w:rFonts w:eastAsiaTheme="minorEastAsia"/>
              </w:rPr>
              <w:t>(4)</w:t>
            </w:r>
          </w:p>
        </w:tc>
      </w:tr>
      <w:tr w:rsidR="00890428" w:rsidTr="000476C6">
        <w:tc>
          <w:tcPr>
            <w:tcW w:w="8926" w:type="dxa"/>
          </w:tcPr>
          <w:p w:rsidR="00890428" w:rsidRPr="00EE59C7" w:rsidRDefault="00890428" w:rsidP="000476C6">
            <w:pPr>
              <w:jc w:val="center"/>
              <w:rPr>
                <w:sz w:val="20"/>
              </w:rPr>
            </w:pPr>
            <m:oMathPara>
              <m:oMath>
                <m:r>
                  <w:rPr>
                    <w:rFonts w:ascii="Cambria Math" w:hAnsi="Cambria Math"/>
                    <w:sz w:val="20"/>
                  </w:rPr>
                  <m:t>x=</m:t>
                </m:r>
                <m:sSup>
                  <m:sSupPr>
                    <m:ctrlPr>
                      <w:rPr>
                        <w:rFonts w:ascii="Cambria Math" w:eastAsiaTheme="minorEastAsia" w:hAnsi="Cambria Math"/>
                        <w:sz w:val="20"/>
                      </w:rPr>
                    </m:ctrlPr>
                  </m:sSupPr>
                  <m:e>
                    <m:r>
                      <m:rPr>
                        <m:sty m:val="p"/>
                      </m:rPr>
                      <w:rPr>
                        <w:rFonts w:ascii="Cambria Math" w:eastAsiaTheme="minorEastAsia" w:hAnsi="Cambria Math"/>
                        <w:sz w:val="20"/>
                      </w:rPr>
                      <m:t>a</m:t>
                    </m:r>
                    <m:r>
                      <w:rPr>
                        <w:rFonts w:ascii="Cambria Math" w:eastAsiaTheme="minorEastAsia" w:hAnsi="Cambria Math"/>
                        <w:sz w:val="20"/>
                      </w:rPr>
                      <m:t>∙SDNN</m:t>
                    </m:r>
                  </m:e>
                  <m:sup>
                    <m:r>
                      <w:rPr>
                        <w:rFonts w:ascii="Cambria Math" w:eastAsiaTheme="minorEastAsia" w:hAnsi="Cambria Math"/>
                        <w:sz w:val="20"/>
                      </w:rPr>
                      <m:t>2</m:t>
                    </m:r>
                  </m:sup>
                </m:sSup>
                <m:r>
                  <m:rPr>
                    <m:sty m:val="p"/>
                  </m:rPr>
                  <w:rPr>
                    <w:rFonts w:ascii="Cambria Math" w:eastAsiaTheme="minorEastAsia" w:hAnsi="Cambria Math"/>
                    <w:sz w:val="20"/>
                  </w:rPr>
                  <m:t>+b∙</m:t>
                </m:r>
                <m:sSub>
                  <m:sSubPr>
                    <m:ctrlPr>
                      <w:rPr>
                        <w:rFonts w:ascii="Cambria Math" w:eastAsiaTheme="minorEastAsia" w:hAnsi="Cambria Math"/>
                        <w:sz w:val="20"/>
                      </w:rPr>
                    </m:ctrlPr>
                  </m:sSubPr>
                  <m:e>
                    <m:r>
                      <w:rPr>
                        <w:rFonts w:ascii="Cambria Math" w:eastAsiaTheme="minorEastAsia" w:hAnsi="Cambria Math"/>
                        <w:sz w:val="20"/>
                      </w:rPr>
                      <m:t>RMSSD</m:t>
                    </m:r>
                  </m:e>
                  <m:sub>
                    <m:r>
                      <w:rPr>
                        <w:rFonts w:ascii="Cambria Math" w:eastAsiaTheme="minorEastAsia" w:hAnsi="Cambria Math"/>
                        <w:sz w:val="20"/>
                      </w:rPr>
                      <m:t>rel</m:t>
                    </m:r>
                  </m:sub>
                </m:sSub>
                <m:r>
                  <m:rPr>
                    <m:sty m:val="p"/>
                  </m:rPr>
                  <w:rPr>
                    <w:rFonts w:ascii="Cambria Math" w:eastAsiaTheme="minorEastAsia" w:hAnsi="Cambria Math"/>
                    <w:sz w:val="20"/>
                  </w:rPr>
                  <m:t>+c∙</m:t>
                </m:r>
                <m:sSub>
                  <m:sSubPr>
                    <m:ctrlPr>
                      <w:rPr>
                        <w:rFonts w:ascii="Cambria Math" w:eastAsiaTheme="minorEastAsia" w:hAnsi="Cambria Math"/>
                        <w:sz w:val="20"/>
                      </w:rPr>
                    </m:ctrlPr>
                  </m:sSubPr>
                  <m:e>
                    <m:r>
                      <w:rPr>
                        <w:rFonts w:ascii="Cambria Math" w:eastAsiaTheme="minorEastAsia" w:hAnsi="Cambria Math"/>
                        <w:sz w:val="20"/>
                      </w:rPr>
                      <m:t>HF</m:t>
                    </m:r>
                  </m:e>
                  <m:sub>
                    <m:r>
                      <w:rPr>
                        <w:rFonts w:ascii="Cambria Math" w:eastAsiaTheme="minorEastAsia" w:hAnsi="Cambria Math"/>
                        <w:sz w:val="20"/>
                      </w:rPr>
                      <m:t>rel</m:t>
                    </m:r>
                  </m:sub>
                </m:sSub>
                <m:r>
                  <m:rPr>
                    <m:sty m:val="p"/>
                  </m:rPr>
                  <w:rPr>
                    <w:rFonts w:ascii="Cambria Math" w:eastAsiaTheme="minorEastAsia" w:hAnsi="Cambria Math"/>
                    <w:sz w:val="20"/>
                  </w:rPr>
                  <m:t>+d∙</m:t>
                </m:r>
                <m:sSubSup>
                  <m:sSubSupPr>
                    <m:ctrlPr>
                      <w:rPr>
                        <w:rFonts w:ascii="Cambria Math" w:eastAsiaTheme="minorEastAsia" w:hAnsi="Cambria Math"/>
                        <w:sz w:val="20"/>
                      </w:rPr>
                    </m:ctrlPr>
                  </m:sSubSupPr>
                  <m:e>
                    <m:r>
                      <w:rPr>
                        <w:rFonts w:ascii="Cambria Math" w:eastAsiaTheme="minorEastAsia" w:hAnsi="Cambria Math"/>
                        <w:sz w:val="20"/>
                      </w:rPr>
                      <m:t>HF</m:t>
                    </m:r>
                  </m:e>
                  <m:sub>
                    <m:r>
                      <w:rPr>
                        <w:rFonts w:ascii="Cambria Math" w:eastAsiaTheme="minorEastAsia" w:hAnsi="Cambria Math"/>
                        <w:sz w:val="20"/>
                      </w:rPr>
                      <m:t>rel</m:t>
                    </m:r>
                  </m:sub>
                  <m:sup>
                    <m:r>
                      <w:rPr>
                        <w:rFonts w:ascii="Cambria Math" w:eastAsiaTheme="minorEastAsia" w:hAnsi="Cambria Math"/>
                        <w:sz w:val="20"/>
                      </w:rPr>
                      <m:t>2</m:t>
                    </m:r>
                  </m:sup>
                </m:sSubSup>
                <m:r>
                  <m:rPr>
                    <m:sty m:val="p"/>
                  </m:rPr>
                  <w:rPr>
                    <w:rFonts w:ascii="Cambria Math" w:eastAsiaTheme="minorEastAsia" w:hAnsi="Cambria Math"/>
                    <w:sz w:val="20"/>
                  </w:rPr>
                  <m:t>+e∙</m:t>
                </m:r>
                <m:r>
                  <w:rPr>
                    <w:rFonts w:ascii="Cambria Math" w:eastAsiaTheme="minorEastAsia" w:hAnsi="Cambria Math"/>
                    <w:sz w:val="20"/>
                  </w:rPr>
                  <m:t>LF</m:t>
                </m:r>
              </m:oMath>
            </m:oMathPara>
          </w:p>
          <w:p w:rsidR="00890428" w:rsidRPr="00EE59C7" w:rsidRDefault="00890428" w:rsidP="000476C6">
            <w:pPr>
              <w:jc w:val="center"/>
              <w:rPr>
                <w:rFonts w:eastAsiaTheme="minorEastAsia"/>
                <w:sz w:val="20"/>
              </w:rPr>
            </w:pPr>
            <m:oMathPara>
              <m:oMath>
                <m:r>
                  <m:rPr>
                    <m:sty m:val="p"/>
                  </m:rPr>
                  <w:rPr>
                    <w:rFonts w:ascii="Cambria Math" w:eastAsiaTheme="minorEastAsia" w:hAnsi="Cambria Math"/>
                    <w:sz w:val="20"/>
                  </w:rPr>
                  <m:t>+f∙</m:t>
                </m:r>
                <m:sSubSup>
                  <m:sSubSupPr>
                    <m:ctrlPr>
                      <w:rPr>
                        <w:rFonts w:ascii="Cambria Math" w:eastAsiaTheme="minorEastAsia" w:hAnsi="Cambria Math"/>
                        <w:sz w:val="20"/>
                      </w:rPr>
                    </m:ctrlPr>
                  </m:sSubSupPr>
                  <m:e>
                    <m:r>
                      <w:rPr>
                        <w:rFonts w:ascii="Cambria Math" w:eastAsiaTheme="minorEastAsia" w:hAnsi="Cambria Math"/>
                        <w:sz w:val="20"/>
                      </w:rPr>
                      <m:t>total Power</m:t>
                    </m:r>
                  </m:e>
                  <m:sub>
                    <m:r>
                      <w:rPr>
                        <w:rFonts w:ascii="Cambria Math" w:eastAsiaTheme="minorEastAsia" w:hAnsi="Cambria Math"/>
                        <w:sz w:val="20"/>
                      </w:rPr>
                      <m:t>rel</m:t>
                    </m:r>
                  </m:sub>
                  <m:sup>
                    <m:r>
                      <w:rPr>
                        <w:rFonts w:ascii="Cambria Math" w:eastAsiaTheme="minorEastAsia" w:hAnsi="Cambria Math"/>
                        <w:sz w:val="20"/>
                      </w:rPr>
                      <m:t>-1</m:t>
                    </m:r>
                  </m:sup>
                </m:sSubSup>
                <m:r>
                  <m:rPr>
                    <m:sty m:val="p"/>
                  </m:rPr>
                  <w:rPr>
                    <w:rFonts w:ascii="Cambria Math" w:eastAsiaTheme="minorEastAsia" w:hAnsi="Cambria Math"/>
                    <w:sz w:val="20"/>
                  </w:rPr>
                  <m:t>+g∙</m:t>
                </m:r>
                <m:sSubSup>
                  <m:sSubSupPr>
                    <m:ctrlPr>
                      <w:rPr>
                        <w:rFonts w:ascii="Cambria Math" w:eastAsiaTheme="minorEastAsia" w:hAnsi="Cambria Math"/>
                        <w:sz w:val="20"/>
                      </w:rPr>
                    </m:ctrlPr>
                  </m:sSubSupPr>
                  <m:e>
                    <m:r>
                      <w:rPr>
                        <w:rFonts w:ascii="Cambria Math" w:eastAsiaTheme="minorEastAsia" w:hAnsi="Cambria Math"/>
                        <w:sz w:val="20"/>
                      </w:rPr>
                      <m:t>GSR</m:t>
                    </m:r>
                  </m:e>
                  <m:sub>
                    <m:r>
                      <w:rPr>
                        <w:rFonts w:ascii="Cambria Math" w:eastAsiaTheme="minorEastAsia" w:hAnsi="Cambria Math"/>
                        <w:sz w:val="20"/>
                      </w:rPr>
                      <m:t>rel</m:t>
                    </m:r>
                  </m:sub>
                  <m:sup>
                    <m:r>
                      <w:rPr>
                        <w:rFonts w:ascii="Cambria Math" w:eastAsiaTheme="minorEastAsia" w:hAnsi="Cambria Math"/>
                        <w:sz w:val="20"/>
                      </w:rPr>
                      <m:t>3</m:t>
                    </m:r>
                  </m:sup>
                </m:sSubSup>
                <m:r>
                  <m:rPr>
                    <m:sty m:val="p"/>
                  </m:rPr>
                  <w:rPr>
                    <w:rFonts w:ascii="Cambria Math" w:eastAsiaTheme="minorEastAsia" w:hAnsi="Cambria Math"/>
                    <w:sz w:val="20"/>
                  </w:rPr>
                  <m:t>+h∙</m:t>
                </m:r>
                <m:sSubSup>
                  <m:sSubSupPr>
                    <m:ctrlPr>
                      <w:rPr>
                        <w:rFonts w:ascii="Cambria Math" w:eastAsiaTheme="minorEastAsia" w:hAnsi="Cambria Math"/>
                        <w:sz w:val="20"/>
                      </w:rPr>
                    </m:ctrlPr>
                  </m:sSubSupPr>
                  <m:e>
                    <m:r>
                      <w:rPr>
                        <w:rFonts w:ascii="Cambria Math" w:eastAsiaTheme="minorEastAsia" w:hAnsi="Cambria Math"/>
                        <w:sz w:val="20"/>
                      </w:rPr>
                      <m:t>diameter</m:t>
                    </m:r>
                  </m:e>
                  <m:sub>
                    <m:r>
                      <w:rPr>
                        <w:rFonts w:ascii="Cambria Math" w:eastAsiaTheme="minorEastAsia" w:hAnsi="Cambria Math"/>
                        <w:sz w:val="20"/>
                      </w:rPr>
                      <m:t>rel</m:t>
                    </m:r>
                  </m:sub>
                  <m:sup>
                    <m:r>
                      <w:rPr>
                        <w:rFonts w:ascii="Cambria Math" w:eastAsiaTheme="minorEastAsia" w:hAnsi="Cambria Math"/>
                        <w:sz w:val="20"/>
                      </w:rPr>
                      <m:t>2</m:t>
                    </m:r>
                  </m:sup>
                </m:sSubSup>
                <m:r>
                  <w:rPr>
                    <w:rFonts w:ascii="Cambria Math" w:eastAsiaTheme="minorEastAsia" w:hAnsi="Cambria Math"/>
                    <w:sz w:val="20"/>
                  </w:rPr>
                  <m:t>+</m:t>
                </m:r>
                <m:r>
                  <m:rPr>
                    <m:sty m:val="p"/>
                  </m:rPr>
                  <w:rPr>
                    <w:rFonts w:ascii="Cambria Math" w:eastAsiaTheme="minorEastAsia" w:hAnsi="Cambria Math"/>
                    <w:sz w:val="20"/>
                  </w:rPr>
                  <m:t>i</m:t>
                </m:r>
              </m:oMath>
            </m:oMathPara>
          </w:p>
        </w:tc>
        <w:tc>
          <w:tcPr>
            <w:tcW w:w="424" w:type="dxa"/>
          </w:tcPr>
          <w:p w:rsidR="00890428" w:rsidRDefault="00890428" w:rsidP="000476C6">
            <w:pPr>
              <w:rPr>
                <w:rFonts w:eastAsiaTheme="minorEastAsia"/>
              </w:rPr>
            </w:pPr>
            <w:r>
              <w:rPr>
                <w:rFonts w:eastAsiaTheme="minorEastAsia"/>
              </w:rPr>
              <w:t>(5)</w:t>
            </w:r>
          </w:p>
        </w:tc>
      </w:tr>
      <w:tr w:rsidR="00890428" w:rsidTr="000476C6">
        <w:tc>
          <w:tcPr>
            <w:tcW w:w="8926" w:type="dxa"/>
          </w:tcPr>
          <w:p w:rsidR="00890428" w:rsidRPr="00EE59C7" w:rsidRDefault="00890428" w:rsidP="000476C6">
            <w:pPr>
              <w:jc w:val="center"/>
              <w:rPr>
                <w:rFonts w:eastAsiaTheme="minorEastAsia"/>
                <w:sz w:val="20"/>
              </w:rPr>
            </w:pPr>
            <m:oMathPara>
              <m:oMath>
                <m:r>
                  <w:rPr>
                    <w:rFonts w:ascii="Cambria Math" w:hAnsi="Cambria Math"/>
                    <w:sz w:val="20"/>
                  </w:rPr>
                  <m:t>probability of class 2=1-probability of class 1</m:t>
                </m:r>
              </m:oMath>
            </m:oMathPara>
          </w:p>
        </w:tc>
        <w:tc>
          <w:tcPr>
            <w:tcW w:w="424" w:type="dxa"/>
          </w:tcPr>
          <w:p w:rsidR="00890428" w:rsidRDefault="00890428" w:rsidP="000476C6">
            <w:pPr>
              <w:rPr>
                <w:rFonts w:eastAsiaTheme="minorEastAsia"/>
              </w:rPr>
            </w:pPr>
            <w:r>
              <w:rPr>
                <w:rFonts w:eastAsiaTheme="minorEastAsia"/>
              </w:rPr>
              <w:t>(6)</w:t>
            </w:r>
          </w:p>
        </w:tc>
      </w:tr>
    </w:tbl>
    <w:p w:rsidR="00980F15" w:rsidRDefault="000C1ED9" w:rsidP="00980F15">
      <w:r>
        <w:t>Even though the classification of cognitive sleepiness is fair, it is not sufficiently accurate to model the activation of the driver through the countermeasures</w:t>
      </w:r>
      <w:r w:rsidR="00543919">
        <w:t xml:space="preserve"> because the class is either “</w:t>
      </w:r>
      <w:r w:rsidR="00F107CB">
        <w:t>1-</w:t>
      </w:r>
      <w:r w:rsidR="00543919">
        <w:t>awake” or “</w:t>
      </w:r>
      <w:r w:rsidR="00F107CB">
        <w:t>2-</w:t>
      </w:r>
      <w:r w:rsidR="00543919">
        <w:t xml:space="preserve">sleepy”. Hence, any intermediate state, such as slight reductions in sleepiness due to in-car stimulation are not </w:t>
      </w:r>
      <w:r w:rsidR="00123240">
        <w:t>represented by the model</w:t>
      </w:r>
      <w:r>
        <w:t xml:space="preserve">. </w:t>
      </w:r>
    </w:p>
    <w:p w:rsidR="00980F15" w:rsidRDefault="00980F15" w:rsidP="00980F1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980F15" w:rsidTr="00980F15">
        <w:tc>
          <w:tcPr>
            <w:tcW w:w="4675" w:type="dxa"/>
          </w:tcPr>
          <w:p w:rsidR="00980F15" w:rsidRPr="00874887" w:rsidRDefault="00980F15" w:rsidP="00E76216">
            <w:pPr>
              <w:jc w:val="center"/>
              <w:rPr>
                <w:b/>
                <w:sz w:val="20"/>
              </w:rPr>
            </w:pPr>
            <w:r w:rsidRPr="003A74DB">
              <w:rPr>
                <w:b/>
                <w:sz w:val="20"/>
              </w:rPr>
              <w:t xml:space="preserve">Table </w:t>
            </w:r>
            <w:r>
              <w:rPr>
                <w:b/>
                <w:sz w:val="20"/>
              </w:rPr>
              <w:t>2</w:t>
            </w:r>
            <w:r w:rsidRPr="003A74DB">
              <w:rPr>
                <w:b/>
                <w:sz w:val="20"/>
              </w:rPr>
              <w:t xml:space="preserve">. </w:t>
            </w:r>
            <w:r>
              <w:rPr>
                <w:b/>
                <w:sz w:val="20"/>
              </w:rPr>
              <w:t>Confusion matrix of simple logistic regression</w:t>
            </w:r>
          </w:p>
          <w:tbl>
            <w:tblPr>
              <w:tblStyle w:val="PlainTable2"/>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555"/>
              <w:gridCol w:w="992"/>
              <w:gridCol w:w="966"/>
            </w:tblGrid>
            <w:tr w:rsidR="00980F15" w:rsidTr="00195EB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Borders>
                    <w:bottom w:val="none" w:sz="0" w:space="0" w:color="auto"/>
                  </w:tcBorders>
                </w:tcPr>
                <w:p w:rsidR="00980F15" w:rsidRPr="00E800B2" w:rsidRDefault="00980F15" w:rsidP="00E76216">
                  <w:pPr>
                    <w:jc w:val="center"/>
                    <w:rPr>
                      <w:b w:val="0"/>
                      <w:sz w:val="20"/>
                    </w:rPr>
                  </w:pPr>
                  <w:r w:rsidRPr="00E800B2">
                    <w:rPr>
                      <w:b w:val="0"/>
                      <w:sz w:val="20"/>
                    </w:rPr>
                    <w:t>Classified as</w:t>
                  </w:r>
                  <w:r>
                    <w:rPr>
                      <w:b w:val="0"/>
                      <w:sz w:val="20"/>
                    </w:rPr>
                    <w:t xml:space="preserve"> →</w:t>
                  </w:r>
                </w:p>
              </w:tc>
              <w:tc>
                <w:tcPr>
                  <w:tcW w:w="992" w:type="dxa"/>
                  <w:tcBorders>
                    <w:bottom w:val="none" w:sz="0" w:space="0" w:color="auto"/>
                  </w:tcBorders>
                </w:tcPr>
                <w:p w:rsidR="00980F15" w:rsidRPr="00E800B2" w:rsidRDefault="00980F15" w:rsidP="00E76216">
                  <w:pPr>
                    <w:jc w:val="center"/>
                    <w:cnfStyle w:val="100000000000" w:firstRow="1" w:lastRow="0" w:firstColumn="0" w:lastColumn="0" w:oddVBand="0" w:evenVBand="0" w:oddHBand="0" w:evenHBand="0" w:firstRowFirstColumn="0" w:firstRowLastColumn="0" w:lastRowFirstColumn="0" w:lastRowLastColumn="0"/>
                    <w:rPr>
                      <w:sz w:val="20"/>
                    </w:rPr>
                  </w:pPr>
                  <w:r w:rsidRPr="00E800B2">
                    <w:rPr>
                      <w:sz w:val="20"/>
                    </w:rPr>
                    <w:t>1</w:t>
                  </w:r>
                </w:p>
              </w:tc>
              <w:tc>
                <w:tcPr>
                  <w:tcW w:w="966" w:type="dxa"/>
                  <w:tcBorders>
                    <w:bottom w:val="none" w:sz="0" w:space="0" w:color="auto"/>
                  </w:tcBorders>
                </w:tcPr>
                <w:p w:rsidR="00980F15" w:rsidRPr="00E800B2" w:rsidRDefault="00980F15" w:rsidP="00E76216">
                  <w:pPr>
                    <w:jc w:val="center"/>
                    <w:cnfStyle w:val="100000000000" w:firstRow="1" w:lastRow="0" w:firstColumn="0" w:lastColumn="0" w:oddVBand="0" w:evenVBand="0" w:oddHBand="0" w:evenHBand="0" w:firstRowFirstColumn="0" w:firstRowLastColumn="0" w:lastRowFirstColumn="0" w:lastRowLastColumn="0"/>
                    <w:rPr>
                      <w:sz w:val="20"/>
                    </w:rPr>
                  </w:pPr>
                  <w:r w:rsidRPr="00E800B2">
                    <w:rPr>
                      <w:sz w:val="20"/>
                    </w:rPr>
                    <w:t>2</w:t>
                  </w:r>
                </w:p>
              </w:tc>
            </w:tr>
            <w:tr w:rsidR="00980F15" w:rsidTr="00195E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bottom w:val="none" w:sz="0" w:space="0" w:color="auto"/>
                  </w:tcBorders>
                </w:tcPr>
                <w:p w:rsidR="00980F15" w:rsidRPr="00E800B2" w:rsidRDefault="00980F15" w:rsidP="00E76216">
                  <w:pPr>
                    <w:jc w:val="center"/>
                    <w:rPr>
                      <w:sz w:val="20"/>
                    </w:rPr>
                  </w:pPr>
                  <w:r w:rsidRPr="00E800B2">
                    <w:rPr>
                      <w:sz w:val="20"/>
                    </w:rPr>
                    <w:t>1</w:t>
                  </w:r>
                </w:p>
              </w:tc>
              <w:tc>
                <w:tcPr>
                  <w:tcW w:w="992" w:type="dxa"/>
                  <w:tcBorders>
                    <w:top w:val="none" w:sz="0" w:space="0" w:color="auto"/>
                    <w:bottom w:val="none" w:sz="0" w:space="0" w:color="auto"/>
                  </w:tcBorders>
                </w:tcPr>
                <w:p w:rsidR="00980F15" w:rsidRPr="00E800B2" w:rsidRDefault="00980F15" w:rsidP="00E76216">
                  <w:pPr>
                    <w:jc w:val="center"/>
                    <w:cnfStyle w:val="000000100000" w:firstRow="0" w:lastRow="0" w:firstColumn="0" w:lastColumn="0" w:oddVBand="0" w:evenVBand="0" w:oddHBand="1" w:evenHBand="0" w:firstRowFirstColumn="0" w:firstRowLastColumn="0" w:lastRowFirstColumn="0" w:lastRowLastColumn="0"/>
                    <w:rPr>
                      <w:sz w:val="20"/>
                    </w:rPr>
                  </w:pPr>
                  <w:r w:rsidRPr="00E800B2">
                    <w:rPr>
                      <w:sz w:val="20"/>
                    </w:rPr>
                    <w:t>69</w:t>
                  </w:r>
                </w:p>
              </w:tc>
              <w:tc>
                <w:tcPr>
                  <w:tcW w:w="966" w:type="dxa"/>
                  <w:tcBorders>
                    <w:top w:val="none" w:sz="0" w:space="0" w:color="auto"/>
                    <w:bottom w:val="none" w:sz="0" w:space="0" w:color="auto"/>
                  </w:tcBorders>
                </w:tcPr>
                <w:p w:rsidR="00980F15" w:rsidRPr="00E800B2" w:rsidRDefault="00980F15" w:rsidP="00E76216">
                  <w:pPr>
                    <w:jc w:val="center"/>
                    <w:cnfStyle w:val="000000100000" w:firstRow="0" w:lastRow="0" w:firstColumn="0" w:lastColumn="0" w:oddVBand="0" w:evenVBand="0" w:oddHBand="1" w:evenHBand="0" w:firstRowFirstColumn="0" w:firstRowLastColumn="0" w:lastRowFirstColumn="0" w:lastRowLastColumn="0"/>
                    <w:rPr>
                      <w:sz w:val="20"/>
                    </w:rPr>
                  </w:pPr>
                  <w:r w:rsidRPr="00E800B2">
                    <w:rPr>
                      <w:sz w:val="20"/>
                    </w:rPr>
                    <w:t>16</w:t>
                  </w:r>
                </w:p>
              </w:tc>
            </w:tr>
            <w:tr w:rsidR="00980F15" w:rsidTr="00195EB3">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980F15" w:rsidRPr="00E800B2" w:rsidRDefault="00980F15" w:rsidP="00E76216">
                  <w:pPr>
                    <w:jc w:val="center"/>
                    <w:rPr>
                      <w:sz w:val="20"/>
                    </w:rPr>
                  </w:pPr>
                  <w:r w:rsidRPr="00E800B2">
                    <w:rPr>
                      <w:sz w:val="20"/>
                    </w:rPr>
                    <w:t>2</w:t>
                  </w:r>
                </w:p>
              </w:tc>
              <w:tc>
                <w:tcPr>
                  <w:tcW w:w="992" w:type="dxa"/>
                </w:tcPr>
                <w:p w:rsidR="00980F15" w:rsidRPr="00E800B2" w:rsidRDefault="00980F15" w:rsidP="00E76216">
                  <w:pPr>
                    <w:jc w:val="center"/>
                    <w:cnfStyle w:val="000000000000" w:firstRow="0" w:lastRow="0" w:firstColumn="0" w:lastColumn="0" w:oddVBand="0" w:evenVBand="0" w:oddHBand="0" w:evenHBand="0" w:firstRowFirstColumn="0" w:firstRowLastColumn="0" w:lastRowFirstColumn="0" w:lastRowLastColumn="0"/>
                    <w:rPr>
                      <w:sz w:val="20"/>
                    </w:rPr>
                  </w:pPr>
                  <w:r w:rsidRPr="00E800B2">
                    <w:rPr>
                      <w:sz w:val="20"/>
                    </w:rPr>
                    <w:t>23</w:t>
                  </w:r>
                </w:p>
              </w:tc>
              <w:tc>
                <w:tcPr>
                  <w:tcW w:w="966" w:type="dxa"/>
                </w:tcPr>
                <w:p w:rsidR="00980F15" w:rsidRPr="00E800B2" w:rsidRDefault="00980F15" w:rsidP="00E76216">
                  <w:pPr>
                    <w:jc w:val="center"/>
                    <w:cnfStyle w:val="000000000000" w:firstRow="0" w:lastRow="0" w:firstColumn="0" w:lastColumn="0" w:oddVBand="0" w:evenVBand="0" w:oddHBand="0" w:evenHBand="0" w:firstRowFirstColumn="0" w:firstRowLastColumn="0" w:lastRowFirstColumn="0" w:lastRowLastColumn="0"/>
                    <w:rPr>
                      <w:sz w:val="20"/>
                    </w:rPr>
                  </w:pPr>
                  <w:r w:rsidRPr="00E800B2">
                    <w:rPr>
                      <w:sz w:val="20"/>
                    </w:rPr>
                    <w:t>63</w:t>
                  </w:r>
                </w:p>
              </w:tc>
            </w:tr>
          </w:tbl>
          <w:p w:rsidR="00980F15" w:rsidRPr="00E76216" w:rsidRDefault="00F107CB" w:rsidP="00E76216">
            <w:pPr>
              <w:pStyle w:val="Caption"/>
              <w:spacing w:after="0"/>
              <w:jc w:val="center"/>
              <w:rPr>
                <w:b/>
                <w:i w:val="0"/>
                <w:color w:val="auto"/>
                <w:sz w:val="12"/>
                <w:szCs w:val="12"/>
              </w:rPr>
            </w:pPr>
            <w:r>
              <w:rPr>
                <w:b/>
                <w:i w:val="0"/>
                <w:color w:val="auto"/>
                <w:sz w:val="20"/>
                <w:szCs w:val="20"/>
              </w:rPr>
              <w:t xml:space="preserve"> </w:t>
            </w:r>
          </w:p>
        </w:tc>
        <w:tc>
          <w:tcPr>
            <w:tcW w:w="4675" w:type="dxa"/>
          </w:tcPr>
          <w:p w:rsidR="00980F15" w:rsidRPr="00874887" w:rsidRDefault="00980F15" w:rsidP="00E76216">
            <w:pPr>
              <w:jc w:val="center"/>
              <w:rPr>
                <w:b/>
                <w:sz w:val="20"/>
              </w:rPr>
            </w:pPr>
            <w:r w:rsidRPr="003A74DB">
              <w:rPr>
                <w:b/>
                <w:sz w:val="20"/>
              </w:rPr>
              <w:t xml:space="preserve">Table </w:t>
            </w:r>
            <w:r>
              <w:rPr>
                <w:b/>
                <w:sz w:val="20"/>
              </w:rPr>
              <w:t>3</w:t>
            </w:r>
            <w:r w:rsidRPr="003A74DB">
              <w:rPr>
                <w:b/>
                <w:sz w:val="20"/>
              </w:rPr>
              <w:t xml:space="preserve">. </w:t>
            </w:r>
            <w:r>
              <w:rPr>
                <w:b/>
                <w:sz w:val="20"/>
              </w:rPr>
              <w:t>Confusion matrix of linear regression</w:t>
            </w:r>
          </w:p>
          <w:tbl>
            <w:tblPr>
              <w:tblStyle w:val="PlainTable2"/>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555"/>
              <w:gridCol w:w="992"/>
              <w:gridCol w:w="966"/>
            </w:tblGrid>
            <w:tr w:rsidR="00980F15" w:rsidTr="00195EB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Borders>
                    <w:bottom w:val="none" w:sz="0" w:space="0" w:color="auto"/>
                  </w:tcBorders>
                </w:tcPr>
                <w:p w:rsidR="00980F15" w:rsidRPr="00E800B2" w:rsidRDefault="00980F15" w:rsidP="00E76216">
                  <w:pPr>
                    <w:jc w:val="center"/>
                    <w:rPr>
                      <w:b w:val="0"/>
                      <w:sz w:val="20"/>
                    </w:rPr>
                  </w:pPr>
                  <w:r w:rsidRPr="00E800B2">
                    <w:rPr>
                      <w:b w:val="0"/>
                      <w:sz w:val="20"/>
                    </w:rPr>
                    <w:t>Classified as</w:t>
                  </w:r>
                  <w:r>
                    <w:rPr>
                      <w:b w:val="0"/>
                      <w:sz w:val="20"/>
                    </w:rPr>
                    <w:t xml:space="preserve"> →</w:t>
                  </w:r>
                </w:p>
              </w:tc>
              <w:tc>
                <w:tcPr>
                  <w:tcW w:w="992" w:type="dxa"/>
                  <w:tcBorders>
                    <w:bottom w:val="none" w:sz="0" w:space="0" w:color="auto"/>
                  </w:tcBorders>
                </w:tcPr>
                <w:p w:rsidR="00980F15" w:rsidRPr="00E800B2" w:rsidRDefault="00980F15" w:rsidP="00E76216">
                  <w:pPr>
                    <w:jc w:val="center"/>
                    <w:cnfStyle w:val="100000000000" w:firstRow="1" w:lastRow="0" w:firstColumn="0" w:lastColumn="0" w:oddVBand="0" w:evenVBand="0" w:oddHBand="0" w:evenHBand="0" w:firstRowFirstColumn="0" w:firstRowLastColumn="0" w:lastRowFirstColumn="0" w:lastRowLastColumn="0"/>
                    <w:rPr>
                      <w:sz w:val="20"/>
                    </w:rPr>
                  </w:pPr>
                  <w:r w:rsidRPr="00E800B2">
                    <w:rPr>
                      <w:sz w:val="20"/>
                    </w:rPr>
                    <w:t>1</w:t>
                  </w:r>
                </w:p>
              </w:tc>
              <w:tc>
                <w:tcPr>
                  <w:tcW w:w="966" w:type="dxa"/>
                  <w:tcBorders>
                    <w:bottom w:val="none" w:sz="0" w:space="0" w:color="auto"/>
                  </w:tcBorders>
                </w:tcPr>
                <w:p w:rsidR="00980F15" w:rsidRPr="00E800B2" w:rsidRDefault="00980F15" w:rsidP="00E76216">
                  <w:pPr>
                    <w:jc w:val="center"/>
                    <w:cnfStyle w:val="100000000000" w:firstRow="1" w:lastRow="0" w:firstColumn="0" w:lastColumn="0" w:oddVBand="0" w:evenVBand="0" w:oddHBand="0" w:evenHBand="0" w:firstRowFirstColumn="0" w:firstRowLastColumn="0" w:lastRowFirstColumn="0" w:lastRowLastColumn="0"/>
                    <w:rPr>
                      <w:sz w:val="20"/>
                    </w:rPr>
                  </w:pPr>
                  <w:r w:rsidRPr="00E800B2">
                    <w:rPr>
                      <w:sz w:val="20"/>
                    </w:rPr>
                    <w:t>2</w:t>
                  </w:r>
                </w:p>
              </w:tc>
            </w:tr>
            <w:tr w:rsidR="00980F15" w:rsidTr="00195E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bottom w:val="none" w:sz="0" w:space="0" w:color="auto"/>
                  </w:tcBorders>
                </w:tcPr>
                <w:p w:rsidR="00980F15" w:rsidRPr="00E800B2" w:rsidRDefault="00980F15" w:rsidP="00E76216">
                  <w:pPr>
                    <w:jc w:val="center"/>
                    <w:rPr>
                      <w:sz w:val="20"/>
                    </w:rPr>
                  </w:pPr>
                  <w:r w:rsidRPr="00E800B2">
                    <w:rPr>
                      <w:sz w:val="20"/>
                    </w:rPr>
                    <w:t>1</w:t>
                  </w:r>
                </w:p>
              </w:tc>
              <w:tc>
                <w:tcPr>
                  <w:tcW w:w="992" w:type="dxa"/>
                  <w:tcBorders>
                    <w:top w:val="none" w:sz="0" w:space="0" w:color="auto"/>
                    <w:bottom w:val="none" w:sz="0" w:space="0" w:color="auto"/>
                  </w:tcBorders>
                </w:tcPr>
                <w:p w:rsidR="00980F15" w:rsidRPr="00E800B2" w:rsidRDefault="00980F15" w:rsidP="00E76216">
                  <w:pPr>
                    <w:jc w:val="center"/>
                    <w:cnfStyle w:val="000000100000" w:firstRow="0" w:lastRow="0" w:firstColumn="0" w:lastColumn="0" w:oddVBand="0" w:evenVBand="0" w:oddHBand="1" w:evenHBand="0" w:firstRowFirstColumn="0" w:firstRowLastColumn="0" w:lastRowFirstColumn="0" w:lastRowLastColumn="0"/>
                    <w:rPr>
                      <w:sz w:val="20"/>
                    </w:rPr>
                  </w:pPr>
                  <w:r>
                    <w:rPr>
                      <w:sz w:val="20"/>
                    </w:rPr>
                    <w:t>70</w:t>
                  </w:r>
                </w:p>
              </w:tc>
              <w:tc>
                <w:tcPr>
                  <w:tcW w:w="966" w:type="dxa"/>
                  <w:tcBorders>
                    <w:top w:val="none" w:sz="0" w:space="0" w:color="auto"/>
                    <w:bottom w:val="none" w:sz="0" w:space="0" w:color="auto"/>
                  </w:tcBorders>
                </w:tcPr>
                <w:p w:rsidR="00980F15" w:rsidRPr="00E800B2" w:rsidRDefault="00980F15" w:rsidP="00E76216">
                  <w:pPr>
                    <w:jc w:val="center"/>
                    <w:cnfStyle w:val="000000100000" w:firstRow="0" w:lastRow="0" w:firstColumn="0" w:lastColumn="0" w:oddVBand="0" w:evenVBand="0" w:oddHBand="1" w:evenHBand="0" w:firstRowFirstColumn="0" w:firstRowLastColumn="0" w:lastRowFirstColumn="0" w:lastRowLastColumn="0"/>
                    <w:rPr>
                      <w:sz w:val="20"/>
                    </w:rPr>
                  </w:pPr>
                  <w:r w:rsidRPr="00E800B2">
                    <w:rPr>
                      <w:sz w:val="20"/>
                    </w:rPr>
                    <w:t>1</w:t>
                  </w:r>
                  <w:r>
                    <w:rPr>
                      <w:sz w:val="20"/>
                    </w:rPr>
                    <w:t>5</w:t>
                  </w:r>
                </w:p>
              </w:tc>
            </w:tr>
            <w:tr w:rsidR="00980F15" w:rsidTr="00195EB3">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980F15" w:rsidRPr="00E800B2" w:rsidRDefault="00980F15" w:rsidP="00E76216">
                  <w:pPr>
                    <w:jc w:val="center"/>
                    <w:rPr>
                      <w:sz w:val="20"/>
                    </w:rPr>
                  </w:pPr>
                  <w:r w:rsidRPr="00E800B2">
                    <w:rPr>
                      <w:sz w:val="20"/>
                    </w:rPr>
                    <w:t>2</w:t>
                  </w:r>
                </w:p>
              </w:tc>
              <w:tc>
                <w:tcPr>
                  <w:tcW w:w="992" w:type="dxa"/>
                </w:tcPr>
                <w:p w:rsidR="00980F15" w:rsidRPr="00E800B2" w:rsidRDefault="00980F15" w:rsidP="00E76216">
                  <w:pPr>
                    <w:jc w:val="center"/>
                    <w:cnfStyle w:val="000000000000" w:firstRow="0" w:lastRow="0" w:firstColumn="0" w:lastColumn="0" w:oddVBand="0" w:evenVBand="0" w:oddHBand="0" w:evenHBand="0" w:firstRowFirstColumn="0" w:firstRowLastColumn="0" w:lastRowFirstColumn="0" w:lastRowLastColumn="0"/>
                    <w:rPr>
                      <w:sz w:val="20"/>
                    </w:rPr>
                  </w:pPr>
                  <w:r w:rsidRPr="00E800B2">
                    <w:rPr>
                      <w:sz w:val="20"/>
                    </w:rPr>
                    <w:t>2</w:t>
                  </w:r>
                  <w:r>
                    <w:rPr>
                      <w:sz w:val="20"/>
                    </w:rPr>
                    <w:t>4</w:t>
                  </w:r>
                </w:p>
              </w:tc>
              <w:tc>
                <w:tcPr>
                  <w:tcW w:w="966" w:type="dxa"/>
                </w:tcPr>
                <w:p w:rsidR="00980F15" w:rsidRPr="00E800B2" w:rsidRDefault="00980F15" w:rsidP="00E76216">
                  <w:pPr>
                    <w:jc w:val="center"/>
                    <w:cnfStyle w:val="000000000000" w:firstRow="0" w:lastRow="0" w:firstColumn="0" w:lastColumn="0" w:oddVBand="0" w:evenVBand="0" w:oddHBand="0" w:evenHBand="0" w:firstRowFirstColumn="0" w:firstRowLastColumn="0" w:lastRowFirstColumn="0" w:lastRowLastColumn="0"/>
                    <w:rPr>
                      <w:sz w:val="20"/>
                    </w:rPr>
                  </w:pPr>
                  <w:r w:rsidRPr="00E800B2">
                    <w:rPr>
                      <w:sz w:val="20"/>
                    </w:rPr>
                    <w:t>6</w:t>
                  </w:r>
                  <w:r>
                    <w:rPr>
                      <w:sz w:val="20"/>
                    </w:rPr>
                    <w:t>2</w:t>
                  </w:r>
                </w:p>
              </w:tc>
            </w:tr>
          </w:tbl>
          <w:p w:rsidR="00980F15" w:rsidRPr="00F107CB" w:rsidRDefault="00980F15" w:rsidP="00E76216">
            <w:pPr>
              <w:pStyle w:val="Caption"/>
              <w:spacing w:after="0"/>
              <w:rPr>
                <w:b/>
                <w:i w:val="0"/>
                <w:color w:val="auto"/>
                <w:sz w:val="16"/>
                <w:szCs w:val="16"/>
              </w:rPr>
            </w:pPr>
          </w:p>
        </w:tc>
      </w:tr>
      <w:tr w:rsidR="00980F15" w:rsidTr="00980F15">
        <w:tc>
          <w:tcPr>
            <w:tcW w:w="4675" w:type="dxa"/>
          </w:tcPr>
          <w:p w:rsidR="00980F15" w:rsidRPr="00980F15" w:rsidRDefault="00980F15" w:rsidP="00195EB3">
            <w:pPr>
              <w:keepNext/>
              <w:spacing w:after="120"/>
              <w:jc w:val="center"/>
              <w:rPr>
                <w:b/>
                <w:noProof/>
                <w:sz w:val="20"/>
                <w:lang w:val="de-DE" w:eastAsia="de-DE"/>
              </w:rPr>
            </w:pPr>
            <w:r w:rsidRPr="00980F15">
              <w:rPr>
                <w:b/>
                <w:noProof/>
                <w:sz w:val="20"/>
              </w:rPr>
              <w:drawing>
                <wp:inline distT="0" distB="0" distL="0" distR="0" wp14:anchorId="31C9997B" wp14:editId="1E11C267">
                  <wp:extent cx="2305501" cy="1824837"/>
                  <wp:effectExtent l="0" t="0" r="0" b="444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stogramClassification.emf"/>
                          <pic:cNvPicPr/>
                        </pic:nvPicPr>
                        <pic:blipFill rotWithShape="1">
                          <a:blip r:embed="rId12">
                            <a:extLst>
                              <a:ext uri="{28A0092B-C50C-407E-A947-70E740481C1C}">
                                <a14:useLocalDpi xmlns:a14="http://schemas.microsoft.com/office/drawing/2010/main" val="0"/>
                              </a:ext>
                            </a:extLst>
                          </a:blip>
                          <a:srcRect l="4040" t="5705" r="7599" b="1320"/>
                          <a:stretch/>
                        </pic:blipFill>
                        <pic:spPr bwMode="auto">
                          <a:xfrm>
                            <a:off x="0" y="0"/>
                            <a:ext cx="2332132" cy="1845916"/>
                          </a:xfrm>
                          <a:prstGeom prst="rect">
                            <a:avLst/>
                          </a:prstGeom>
                          <a:ln>
                            <a:noFill/>
                          </a:ln>
                          <a:extLst>
                            <a:ext uri="{53640926-AAD7-44D8-BBD7-CCE9431645EC}">
                              <a14:shadowObscured xmlns:a14="http://schemas.microsoft.com/office/drawing/2010/main"/>
                            </a:ext>
                          </a:extLst>
                        </pic:spPr>
                      </pic:pic>
                    </a:graphicData>
                  </a:graphic>
                </wp:inline>
              </w:drawing>
            </w:r>
          </w:p>
          <w:p w:rsidR="00980F15" w:rsidRPr="00980F15" w:rsidRDefault="00980F15" w:rsidP="00195EB3">
            <w:pPr>
              <w:keepNext/>
              <w:spacing w:after="120"/>
              <w:jc w:val="center"/>
              <w:rPr>
                <w:b/>
                <w:noProof/>
                <w:sz w:val="20"/>
                <w:lang w:val="de-DE" w:eastAsia="de-DE"/>
              </w:rPr>
            </w:pPr>
            <w:r w:rsidRPr="00980F15">
              <w:rPr>
                <w:b/>
                <w:sz w:val="20"/>
              </w:rPr>
              <w:t xml:space="preserve">Figure 3. Histogram of predicted sleepiness with </w:t>
            </w:r>
            <w:r>
              <w:rPr>
                <w:b/>
                <w:sz w:val="20"/>
              </w:rPr>
              <w:t xml:space="preserve">simple </w:t>
            </w:r>
            <w:r w:rsidRPr="00980F15">
              <w:rPr>
                <w:b/>
                <w:sz w:val="20"/>
              </w:rPr>
              <w:t>logistic regression</w:t>
            </w:r>
          </w:p>
        </w:tc>
        <w:tc>
          <w:tcPr>
            <w:tcW w:w="4675" w:type="dxa"/>
          </w:tcPr>
          <w:p w:rsidR="00980F15" w:rsidRPr="00980F15" w:rsidRDefault="00980F15" w:rsidP="00195EB3">
            <w:pPr>
              <w:spacing w:after="120"/>
              <w:jc w:val="center"/>
              <w:rPr>
                <w:b/>
                <w:sz w:val="20"/>
              </w:rPr>
            </w:pPr>
            <w:r w:rsidRPr="00980F15">
              <w:rPr>
                <w:noProof/>
              </w:rPr>
              <w:drawing>
                <wp:inline distT="0" distB="0" distL="0" distR="0" wp14:anchorId="255F0828" wp14:editId="49C8BA87">
                  <wp:extent cx="2262165" cy="1836000"/>
                  <wp:effectExtent l="0" t="0" r="508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istogramRegression.emf"/>
                          <pic:cNvPicPr/>
                        </pic:nvPicPr>
                        <pic:blipFill rotWithShape="1">
                          <a:blip r:embed="rId13">
                            <a:extLst>
                              <a:ext uri="{28A0092B-C50C-407E-A947-70E740481C1C}">
                                <a14:useLocalDpi xmlns:a14="http://schemas.microsoft.com/office/drawing/2010/main" val="0"/>
                              </a:ext>
                            </a:extLst>
                          </a:blip>
                          <a:srcRect l="6154" t="5562" r="7699" b="1493"/>
                          <a:stretch/>
                        </pic:blipFill>
                        <pic:spPr bwMode="auto">
                          <a:xfrm>
                            <a:off x="0" y="0"/>
                            <a:ext cx="2299783" cy="1866531"/>
                          </a:xfrm>
                          <a:prstGeom prst="rect">
                            <a:avLst/>
                          </a:prstGeom>
                          <a:ln>
                            <a:noFill/>
                          </a:ln>
                          <a:extLst>
                            <a:ext uri="{53640926-AAD7-44D8-BBD7-CCE9431645EC}">
                              <a14:shadowObscured xmlns:a14="http://schemas.microsoft.com/office/drawing/2010/main"/>
                            </a:ext>
                          </a:extLst>
                        </pic:spPr>
                      </pic:pic>
                    </a:graphicData>
                  </a:graphic>
                </wp:inline>
              </w:drawing>
            </w:r>
          </w:p>
          <w:p w:rsidR="00980F15" w:rsidRPr="00980F15" w:rsidRDefault="00980F15" w:rsidP="00195EB3">
            <w:pPr>
              <w:spacing w:after="120"/>
              <w:jc w:val="center"/>
              <w:rPr>
                <w:noProof/>
                <w:lang w:val="de-DE" w:eastAsia="de-DE"/>
              </w:rPr>
            </w:pPr>
            <w:r w:rsidRPr="00980F15">
              <w:rPr>
                <w:b/>
                <w:sz w:val="20"/>
              </w:rPr>
              <w:t>Figure 4. Histogram of predicted sleepiness with linear regression</w:t>
            </w:r>
            <w:r w:rsidRPr="00980F15">
              <w:rPr>
                <w:noProof/>
                <w:lang w:val="de-DE" w:eastAsia="de-DE"/>
              </w:rPr>
              <w:t xml:space="preserve"> </w:t>
            </w:r>
          </w:p>
        </w:tc>
      </w:tr>
    </w:tbl>
    <w:p w:rsidR="00980F15" w:rsidRDefault="00980F15" w:rsidP="00980F15">
      <w:r>
        <w:t xml:space="preserve">Therefore, we improved our model by cascading a </w:t>
      </w:r>
      <w:r w:rsidR="00F107CB">
        <w:t xml:space="preserve">linear </w:t>
      </w:r>
      <w:r>
        <w:t xml:space="preserve">regression model after the logistic classifier which reproduces such intermediate states. The classification result serves as input for the linear regression model, along with the relative change in pupil diameter. The pupil diameter was chosen as an input because it delivers best results as it is a very sensitive measure of sympathetic activation and hence replicating slight changes of driver activation. The linear regression model for sleepiness was generated using a 10-fold-cross-validation. </w:t>
      </w:r>
      <w:r w:rsidRPr="000476C6">
        <w:t>The regression function is given by equation (</w:t>
      </w:r>
      <w:r>
        <w:t>7</w:t>
      </w:r>
      <w:r w:rsidRPr="000476C6">
        <w:t>) with a coefficient vector (</w:t>
      </w:r>
      <w:r>
        <w:t>j, k, l</w:t>
      </w:r>
      <w:r w:rsidRPr="000476C6">
        <w:t xml:space="preserve">) </w:t>
      </w:r>
      <w:r>
        <w:t>of</w:t>
      </w:r>
      <w:r w:rsidRPr="000476C6">
        <w:t xml:space="preserve"> (</w:t>
      </w:r>
      <w:r>
        <w:t>0.45, -1.5, 0.8</w:t>
      </w:r>
      <w:r w:rsidRPr="000476C6">
        <w:t xml:space="preserve">). The </w:t>
      </w:r>
      <w:r>
        <w:t xml:space="preserve">correlation coefficient of the regression model is r=0.53, p&lt;.001. The </w:t>
      </w:r>
      <w:r w:rsidRPr="000476C6">
        <w:t xml:space="preserve">classification accuracy </w:t>
      </w:r>
      <w:r>
        <w:t xml:space="preserve">of the rounded numeric sleepiness level </w:t>
      </w:r>
      <w:r w:rsidRPr="000476C6">
        <w:t xml:space="preserve">is </w:t>
      </w:r>
      <w:r>
        <w:t xml:space="preserve">still </w:t>
      </w:r>
      <w:r w:rsidRPr="000476C6">
        <w:t>at 77.19%</w:t>
      </w:r>
      <w:r>
        <w:t>.</w:t>
      </w:r>
      <w:r w:rsidRPr="000476C6">
        <w:t xml:space="preserve"> Table </w:t>
      </w:r>
      <w:r>
        <w:t>3</w:t>
      </w:r>
      <w:r w:rsidRPr="000476C6">
        <w:t xml:space="preserve"> shows the </w:t>
      </w:r>
      <w:r>
        <w:t xml:space="preserve">new </w:t>
      </w:r>
      <w:r w:rsidRPr="000476C6">
        <w:t>confusion matrix</w:t>
      </w:r>
      <w:r w:rsidR="00F107CB">
        <w:t xml:space="preserve"> and Figure 4 the new distribution of predicted sleepiness levels</w:t>
      </w:r>
      <w:r w:rsidRPr="000476C6">
        <w:t>.</w:t>
      </w:r>
      <w:r>
        <w:t xml:space="preserve"> </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28" w:type="dxa"/>
          <w:bottom w:w="57" w:type="dxa"/>
          <w:right w:w="28" w:type="dxa"/>
        </w:tblCellMar>
        <w:tblLook w:val="04A0" w:firstRow="1" w:lastRow="0" w:firstColumn="1" w:lastColumn="0" w:noHBand="0" w:noVBand="1"/>
      </w:tblPr>
      <w:tblGrid>
        <w:gridCol w:w="9072"/>
        <w:gridCol w:w="567"/>
      </w:tblGrid>
      <w:tr w:rsidR="00980F15" w:rsidTr="00FE5890">
        <w:tc>
          <w:tcPr>
            <w:tcW w:w="9072" w:type="dxa"/>
          </w:tcPr>
          <w:p w:rsidR="00980F15" w:rsidRPr="00EE59C7" w:rsidRDefault="00980F15" w:rsidP="00FE5890">
            <w:pPr>
              <w:jc w:val="center"/>
              <w:rPr>
                <w:sz w:val="20"/>
              </w:rPr>
            </w:pPr>
            <m:oMathPara>
              <m:oMath>
                <m:r>
                  <w:rPr>
                    <w:rFonts w:ascii="Cambria Math" w:hAnsi="Cambria Math"/>
                    <w:sz w:val="20"/>
                  </w:rPr>
                  <m:t>sleepiness level=</m:t>
                </m:r>
                <m:r>
                  <m:rPr>
                    <m:sty m:val="p"/>
                  </m:rPr>
                  <w:rPr>
                    <w:rFonts w:ascii="Cambria Math" w:eastAsiaTheme="minorEastAsia" w:hAnsi="Cambria Math"/>
                    <w:sz w:val="20"/>
                  </w:rPr>
                  <m:t>j∙</m:t>
                </m:r>
                <m:r>
                  <w:rPr>
                    <w:rFonts w:ascii="Cambria Math" w:eastAsiaTheme="minorEastAsia" w:hAnsi="Cambria Math"/>
                    <w:sz w:val="20"/>
                  </w:rPr>
                  <m:t>class</m:t>
                </m:r>
                <m:r>
                  <m:rPr>
                    <m:sty m:val="p"/>
                  </m:rPr>
                  <w:rPr>
                    <w:rFonts w:ascii="Cambria Math" w:eastAsiaTheme="minorEastAsia" w:hAnsi="Cambria Math"/>
                    <w:sz w:val="20"/>
                  </w:rPr>
                  <m:t>+k∙</m:t>
                </m:r>
                <m:sSub>
                  <m:sSubPr>
                    <m:ctrlPr>
                      <w:rPr>
                        <w:rFonts w:ascii="Cambria Math" w:eastAsiaTheme="minorEastAsia" w:hAnsi="Cambria Math"/>
                        <w:sz w:val="20"/>
                      </w:rPr>
                    </m:ctrlPr>
                  </m:sSubPr>
                  <m:e>
                    <m:r>
                      <w:rPr>
                        <w:rFonts w:ascii="Cambria Math" w:eastAsiaTheme="minorEastAsia" w:hAnsi="Cambria Math"/>
                        <w:sz w:val="20"/>
                      </w:rPr>
                      <m:t>diameter</m:t>
                    </m:r>
                  </m:e>
                  <m:sub>
                    <m:r>
                      <w:rPr>
                        <w:rFonts w:ascii="Cambria Math" w:eastAsiaTheme="minorEastAsia" w:hAnsi="Cambria Math"/>
                        <w:sz w:val="20"/>
                      </w:rPr>
                      <m:t>rel</m:t>
                    </m:r>
                  </m:sub>
                </m:sSub>
                <m:r>
                  <m:rPr>
                    <m:sty m:val="p"/>
                  </m:rPr>
                  <w:rPr>
                    <w:rFonts w:ascii="Cambria Math" w:eastAsiaTheme="minorEastAsia" w:hAnsi="Cambria Math"/>
                    <w:sz w:val="20"/>
                  </w:rPr>
                  <m:t>+l</m:t>
                </m:r>
              </m:oMath>
            </m:oMathPara>
          </w:p>
        </w:tc>
        <w:tc>
          <w:tcPr>
            <w:tcW w:w="567" w:type="dxa"/>
          </w:tcPr>
          <w:p w:rsidR="00980F15" w:rsidRDefault="00980F15" w:rsidP="00FE5890">
            <w:pPr>
              <w:rPr>
                <w:rFonts w:eastAsiaTheme="minorEastAsia"/>
              </w:rPr>
            </w:pPr>
            <w:r>
              <w:rPr>
                <w:rFonts w:eastAsiaTheme="minorEastAsia"/>
              </w:rPr>
              <w:t>(7)</w:t>
            </w:r>
          </w:p>
        </w:tc>
      </w:tr>
    </w:tbl>
    <w:p w:rsidR="00BF47CE" w:rsidRDefault="00BF47CE" w:rsidP="00980F15">
      <w:r>
        <w:t>When comparing the distributions of Figure 3 and Figure 4, the effect of cascading the linear regression is visualized. As it is a characteristic of linear regression, it approximates the mean of all observations which constitutes that the two bars of Figure 3 are moved closer towa</w:t>
      </w:r>
      <w:r w:rsidR="00181D90">
        <w:t>rds the mean of 1.5 in Figure 4</w:t>
      </w:r>
      <w:r>
        <w:t xml:space="preserve">. </w:t>
      </w:r>
      <w:r w:rsidR="00181D90">
        <w:t xml:space="preserve">This hardly alters the classification accuracy (see Table 2 and Table 3), </w:t>
      </w:r>
      <w:r w:rsidR="00181D90">
        <w:lastRenderedPageBreak/>
        <w:t xml:space="preserve">but allows for the detection of slight changes in sleepiness through external stimuli. </w:t>
      </w:r>
      <w:r>
        <w:t>If the linear regression would have been performed without the logistic classifier beforehand</w:t>
      </w:r>
      <w:r w:rsidR="00E76216">
        <w:t>,</w:t>
      </w:r>
      <w:r>
        <w:t xml:space="preserve"> </w:t>
      </w:r>
      <w:r w:rsidR="00E76216">
        <w:t xml:space="preserve">the distribution of predictions would peak at 1.5 and </w:t>
      </w:r>
      <w:r w:rsidR="006B56EF">
        <w:t xml:space="preserve">therefore confuse sleepy </w:t>
      </w:r>
      <w:r w:rsidR="008D02B2">
        <w:t>and</w:t>
      </w:r>
      <w:r w:rsidR="006B56EF">
        <w:t xml:space="preserve"> awake drivers</w:t>
      </w:r>
      <w:r w:rsidR="00E76216">
        <w:t>.</w:t>
      </w:r>
    </w:p>
    <w:p w:rsidR="00BF47CE" w:rsidRDefault="00BF47CE" w:rsidP="00980F15"/>
    <w:p w:rsidR="00980F15" w:rsidRDefault="00980F15" w:rsidP="00980F15">
      <w:r>
        <w:t>To evaluate the sensitivity of the proposed algorithm to changes in cognitive sleepiness due to stimulation, we compared the predicted sleepiness of the two drives “CONT” and “COOL” of the simulator study II.</w:t>
      </w:r>
      <w:r w:rsidRPr="00980F15">
        <w:t xml:space="preserve"> </w:t>
      </w:r>
      <w:r>
        <w:t>The mean sleepiness of the 44 drivers is visualized in Figure </w:t>
      </w:r>
      <w:r w:rsidR="00F107CB">
        <w:t>5</w:t>
      </w:r>
      <w:r w:rsidR="00A639BE">
        <w:t xml:space="preserve"> and it can be seen that sleepiness increased over the course of both drives</w:t>
      </w:r>
      <w:r>
        <w:t xml:space="preserve">. The t-test results </w:t>
      </w:r>
      <w:r w:rsidR="00A639BE">
        <w:t xml:space="preserve">between “CONT” and “COOL” </w:t>
      </w:r>
      <w:r>
        <w:t>for each driving minute yield statistically significant differences in the 21</w:t>
      </w:r>
      <w:r w:rsidRPr="00A05039">
        <w:rPr>
          <w:vertAlign w:val="superscript"/>
        </w:rPr>
        <w:t>st</w:t>
      </w:r>
      <w:r>
        <w:rPr>
          <w:vertAlign w:val="superscript"/>
        </w:rPr>
        <w:t xml:space="preserve"> </w:t>
      </w:r>
      <w:r>
        <w:t>(p&lt;0.003), 23</w:t>
      </w:r>
      <w:r w:rsidRPr="00A05039">
        <w:rPr>
          <w:vertAlign w:val="superscript"/>
        </w:rPr>
        <w:t>rd</w:t>
      </w:r>
      <w:r>
        <w:rPr>
          <w:vertAlign w:val="superscript"/>
        </w:rPr>
        <w:t xml:space="preserve"> </w:t>
      </w:r>
      <w:r>
        <w:t>(p&lt;0.049), 24</w:t>
      </w:r>
      <w:r w:rsidRPr="00A05039">
        <w:rPr>
          <w:vertAlign w:val="superscript"/>
        </w:rPr>
        <w:t>th</w:t>
      </w:r>
      <w:r>
        <w:rPr>
          <w:vertAlign w:val="superscript"/>
        </w:rPr>
        <w:t xml:space="preserve"> </w:t>
      </w:r>
      <w:r>
        <w:t>(p&lt;0.034), 25</w:t>
      </w:r>
      <w:r w:rsidRPr="00A05039">
        <w:rPr>
          <w:vertAlign w:val="superscript"/>
        </w:rPr>
        <w:t>th</w:t>
      </w:r>
      <w:r>
        <w:t xml:space="preserve"> (p&lt;0.023) and 26</w:t>
      </w:r>
      <w:r w:rsidRPr="00A05039">
        <w:rPr>
          <w:vertAlign w:val="superscript"/>
        </w:rPr>
        <w:t>th</w:t>
      </w:r>
      <w:r>
        <w:t xml:space="preserve"> (p&lt;0.001) minute, in which cooling was applied. The graph also shows that there is a trend for decreased sleepiness after 6 and 16 minutes, when the KSS was asked</w:t>
      </w:r>
      <w:r w:rsidR="00EE59C7">
        <w:t xml:space="preserve"> which caused an activation of the drivers</w:t>
      </w:r>
      <w:r w:rsidR="00A639BE">
        <w:t>.</w:t>
      </w:r>
      <w:r>
        <w:t xml:space="preserve"> </w:t>
      </w:r>
    </w:p>
    <w:p w:rsidR="00834540" w:rsidRDefault="00834540" w:rsidP="000C1ED9"/>
    <w:p w:rsidR="00544F9E" w:rsidRDefault="00980F15" w:rsidP="00980F15">
      <w:pPr>
        <w:jc w:val="center"/>
      </w:pPr>
      <w:r>
        <w:rPr>
          <w:noProof/>
        </w:rPr>
        <w:drawing>
          <wp:inline distT="0" distB="0" distL="0" distR="0" wp14:anchorId="5F398BAD" wp14:editId="3DB0422A">
            <wp:extent cx="3194463" cy="1539157"/>
            <wp:effectExtent l="0" t="0" r="635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dicted_sleepiness_sign.emf"/>
                    <pic:cNvPicPr/>
                  </pic:nvPicPr>
                  <pic:blipFill rotWithShape="1">
                    <a:blip r:embed="rId14">
                      <a:extLst>
                        <a:ext uri="{28A0092B-C50C-407E-A947-70E740481C1C}">
                          <a14:useLocalDpi xmlns:a14="http://schemas.microsoft.com/office/drawing/2010/main" val="0"/>
                        </a:ext>
                      </a:extLst>
                    </a:blip>
                    <a:srcRect l="15146" t="21313" r="17627" b="21158"/>
                    <a:stretch/>
                  </pic:blipFill>
                  <pic:spPr bwMode="auto">
                    <a:xfrm>
                      <a:off x="0" y="0"/>
                      <a:ext cx="3222965" cy="1552890"/>
                    </a:xfrm>
                    <a:prstGeom prst="rect">
                      <a:avLst/>
                    </a:prstGeom>
                    <a:ln>
                      <a:noFill/>
                    </a:ln>
                    <a:extLst>
                      <a:ext uri="{53640926-AAD7-44D8-BBD7-CCE9431645EC}">
                        <a14:shadowObscured xmlns:a14="http://schemas.microsoft.com/office/drawing/2010/main"/>
                      </a:ext>
                    </a:extLst>
                  </pic:spPr>
                </pic:pic>
              </a:graphicData>
            </a:graphic>
          </wp:inline>
        </w:drawing>
      </w:r>
    </w:p>
    <w:p w:rsidR="00980F15" w:rsidRDefault="00980F15" w:rsidP="00980F15">
      <w:pPr>
        <w:jc w:val="center"/>
      </w:pPr>
      <w:r w:rsidRPr="004A2183">
        <w:rPr>
          <w:b/>
          <w:sz w:val="20"/>
        </w:rPr>
        <w:t xml:space="preserve">Figure </w:t>
      </w:r>
      <w:r>
        <w:rPr>
          <w:b/>
          <w:sz w:val="20"/>
        </w:rPr>
        <w:t>5</w:t>
      </w:r>
      <w:r w:rsidRPr="004A2183">
        <w:rPr>
          <w:b/>
          <w:sz w:val="20"/>
        </w:rPr>
        <w:t xml:space="preserve">. </w:t>
      </w:r>
      <w:r>
        <w:rPr>
          <w:b/>
          <w:sz w:val="20"/>
        </w:rPr>
        <w:t>Mean and standard error of predicted sleepiness with t-test result between conditions</w:t>
      </w:r>
    </w:p>
    <w:p w:rsidR="00980F15" w:rsidRDefault="00980F15" w:rsidP="00544F9E">
      <w:pPr>
        <w:pStyle w:val="Heading1"/>
      </w:pPr>
    </w:p>
    <w:p w:rsidR="00544F9E" w:rsidRPr="00310BFF" w:rsidRDefault="00544F9E" w:rsidP="00544F9E">
      <w:pPr>
        <w:pStyle w:val="Heading1"/>
      </w:pPr>
      <w:r>
        <w:t>Conclusion</w:t>
      </w:r>
    </w:p>
    <w:p w:rsidR="00544F9E" w:rsidRDefault="00544F9E" w:rsidP="000C1ED9"/>
    <w:p w:rsidR="00210B79" w:rsidRDefault="00BC2FA0" w:rsidP="00544F9E">
      <w:r>
        <w:t xml:space="preserve">Based on the </w:t>
      </w:r>
      <w:r w:rsidR="00CB1625">
        <w:t xml:space="preserve">presented </w:t>
      </w:r>
      <w:r>
        <w:t>results</w:t>
      </w:r>
      <w:r w:rsidR="00CB1625">
        <w:t>,</w:t>
      </w:r>
      <w:r>
        <w:t xml:space="preserve"> </w:t>
      </w:r>
      <w:r w:rsidR="0025799F">
        <w:t xml:space="preserve">the </w:t>
      </w:r>
      <w:r w:rsidR="004557B3">
        <w:t>research question</w:t>
      </w:r>
      <w:r w:rsidR="00CB1625">
        <w:t>s</w:t>
      </w:r>
      <w:r w:rsidR="0025799F">
        <w:t xml:space="preserve"> can be answered:</w:t>
      </w:r>
    </w:p>
    <w:p w:rsidR="006D1774" w:rsidRDefault="00210B79" w:rsidP="00210B79">
      <w:r>
        <w:t>A1: The cognitive sleepiness of car simulator drivers can be detected with an accuracy of 77.19% using ECG, SCL and pupil diameter as input</w:t>
      </w:r>
      <w:r w:rsidR="008C17DA">
        <w:t>s</w:t>
      </w:r>
      <w:r>
        <w:t>.</w:t>
      </w:r>
      <w:r w:rsidR="006D1774">
        <w:t xml:space="preserve"> The classification accuracy achieved with the proposed algorithm </w:t>
      </w:r>
      <w:r w:rsidR="000E22BA">
        <w:t>is fair, taking into account that the data was collected from non-sleep-depr</w:t>
      </w:r>
      <w:r w:rsidR="00BC3439">
        <w:t xml:space="preserve">ived drivers. </w:t>
      </w:r>
      <w:r w:rsidR="00D05E48">
        <w:t xml:space="preserve">Better performing algorithms with similar signal input requirements </w:t>
      </w:r>
      <w:r w:rsidR="00CB1625">
        <w:t xml:space="preserve">found in the literature </w:t>
      </w:r>
      <w:r w:rsidR="004557B3">
        <w:t>were</w:t>
      </w:r>
      <w:r w:rsidR="00BC3439">
        <w:t xml:space="preserve"> trained with data from sleep-deprived drivers</w:t>
      </w:r>
      <w:r w:rsidR="004557B3">
        <w:t xml:space="preserve">. However, it is questionable </w:t>
      </w:r>
      <w:r w:rsidR="00A052FD">
        <w:t>whether</w:t>
      </w:r>
      <w:r w:rsidR="004557B3">
        <w:t xml:space="preserve"> these algorithms can also predict cognitive sleepiness as accurately.</w:t>
      </w:r>
    </w:p>
    <w:p w:rsidR="004557B3" w:rsidRDefault="004557B3" w:rsidP="00210B79">
      <w:r>
        <w:t xml:space="preserve">A2: The algorithm detects changes in sleepiness </w:t>
      </w:r>
      <w:r w:rsidR="009A63AF">
        <w:t xml:space="preserve">of the sample in </w:t>
      </w:r>
      <w:r w:rsidR="00CF6E8C">
        <w:t>our</w:t>
      </w:r>
      <w:r w:rsidR="009A63AF">
        <w:t xml:space="preserve"> second study which were </w:t>
      </w:r>
      <w:r>
        <w:t>induced by thermal stimulation</w:t>
      </w:r>
      <w:r w:rsidR="009A63AF">
        <w:t xml:space="preserve">. </w:t>
      </w:r>
      <w:r>
        <w:t>Furthermore, the predicted value</w:t>
      </w:r>
      <w:r w:rsidR="00CF6E8C">
        <w:t>s also reflect</w:t>
      </w:r>
      <w:r>
        <w:t xml:space="preserve"> tendencies of decreased sleepiness when the driver is answering the KSS.</w:t>
      </w:r>
      <w:r w:rsidR="009A63AF">
        <w:t xml:space="preserve"> Though, when applying the model for the evaluation of sleepiness countermeasures, we recommend having a large sample to overcome the imprecision of the prediction.</w:t>
      </w:r>
    </w:p>
    <w:p w:rsidR="004A36B5" w:rsidRDefault="004A36B5" w:rsidP="00210B79"/>
    <w:p w:rsidR="00D05D2D" w:rsidRDefault="00CB1625" w:rsidP="009A63AF">
      <w:r>
        <w:t>T</w:t>
      </w:r>
      <w:r w:rsidR="009A63AF">
        <w:t xml:space="preserve">he proposed algorithm </w:t>
      </w:r>
      <w:r w:rsidR="00967776">
        <w:t xml:space="preserve">will perform well only if the light settings are kept constant during the experiment. The reason is that changes in the illuminance cause pupillary restrictions unrelated to </w:t>
      </w:r>
      <w:r w:rsidR="00181D90">
        <w:t xml:space="preserve">an </w:t>
      </w:r>
      <w:r w:rsidR="00967776">
        <w:t xml:space="preserve">increase in sleepiness and would therefore </w:t>
      </w:r>
      <w:r w:rsidR="008C17DA">
        <w:t>skew</w:t>
      </w:r>
      <w:r w:rsidR="00967776">
        <w:t xml:space="preserve"> both classification and regression</w:t>
      </w:r>
      <w:r>
        <w:t xml:space="preserve"> results</w:t>
      </w:r>
      <w:r w:rsidR="009A63AF">
        <w:t>.</w:t>
      </w:r>
      <w:r w:rsidR="00A052FD">
        <w:t xml:space="preserve"> </w:t>
      </w:r>
      <w:r>
        <w:t>For this reason</w:t>
      </w:r>
      <w:r w:rsidR="00A052FD">
        <w:t xml:space="preserve">, the algorithm is not suited to evaluate light as an intervening stimulant for sleepy drivers. </w:t>
      </w:r>
      <w:r w:rsidR="000E22BA">
        <w:t>Since we trained the algorithm with the extreme KSS- and SSS-values</w:t>
      </w:r>
      <w:r w:rsidR="008D02B2">
        <w:t>,</w:t>
      </w:r>
      <w:r w:rsidR="000E22BA">
        <w:t xml:space="preserve"> the </w:t>
      </w:r>
      <w:r w:rsidR="00A052FD">
        <w:t xml:space="preserve">reported </w:t>
      </w:r>
      <w:r w:rsidR="000E22BA">
        <w:t xml:space="preserve">accuracy can only be guaranteed for </w:t>
      </w:r>
      <w:r w:rsidR="00A052FD">
        <w:t xml:space="preserve">awake or sleepy </w:t>
      </w:r>
      <w:r w:rsidR="000E22BA">
        <w:t>ratings. For intermediate values (5, 6, 7 for KSS and 4, 5 for SSS) the logistic regression probabilities are close to an e</w:t>
      </w:r>
      <w:r w:rsidR="008C17DA">
        <w:t>qual</w:t>
      </w:r>
      <w:r w:rsidR="00CF6E8C">
        <w:t xml:space="preserve"> likelihood for both classes</w:t>
      </w:r>
      <w:r w:rsidR="00181D90">
        <w:t>,</w:t>
      </w:r>
      <w:r w:rsidR="00CF6E8C">
        <w:t xml:space="preserve"> increasing the risk of misclassifications. </w:t>
      </w:r>
    </w:p>
    <w:p w:rsidR="00D05D2D" w:rsidRDefault="00D05D2D" w:rsidP="009A63AF"/>
    <w:p w:rsidR="00612C20" w:rsidRDefault="00D05D2D" w:rsidP="00544F9E">
      <w:r>
        <w:t>Taking both the accuracy and sensitivity of the regression model into account, the algorithm is a suitable tool for continuously evaluating TR sleepiness due to monotony in driving simulator studies. The model can also serve as an objective measure for the effectivenes</w:t>
      </w:r>
      <w:r w:rsidR="009206EE">
        <w:t>s of countermeasures, such as in-car stimulant</w:t>
      </w:r>
      <w:r w:rsidR="00283E38">
        <w:t xml:space="preserve">s. </w:t>
      </w:r>
      <w:r w:rsidR="004354C2">
        <w:t xml:space="preserve">In further studies, we would like to evaluate the performance of the sleepiness prediction for repeated and </w:t>
      </w:r>
      <w:r w:rsidR="00283E38">
        <w:t>even cooler thermal stimuli</w:t>
      </w:r>
      <w:r w:rsidR="00612C20">
        <w:t>.</w:t>
      </w:r>
      <w:r w:rsidR="00283E38">
        <w:t xml:space="preserve"> Moreover, the algorithm should also be tested for different causes of </w:t>
      </w:r>
      <w:r w:rsidR="00181D90">
        <w:t xml:space="preserve">TR </w:t>
      </w:r>
      <w:r w:rsidR="00283E38">
        <w:t>sleepiness, such as automated driving.</w:t>
      </w:r>
    </w:p>
    <w:p w:rsidR="00D05E48" w:rsidRDefault="00D05E48" w:rsidP="00544F9E"/>
    <w:p w:rsidR="00544F9E" w:rsidRDefault="00544F9E" w:rsidP="00544F9E">
      <w:pPr>
        <w:pStyle w:val="Heading1"/>
      </w:pPr>
      <w:r>
        <w:t>References</w:t>
      </w:r>
    </w:p>
    <w:p w:rsidR="00544F9E" w:rsidRDefault="00544F9E" w:rsidP="00544F9E"/>
    <w:p w:rsidR="00814F6F" w:rsidRDefault="00814F6F" w:rsidP="00544F9E">
      <w:pPr>
        <w:pStyle w:val="Reference"/>
      </w:pPr>
      <w:r w:rsidRPr="00814F6F">
        <w:t xml:space="preserve">Desmond, P. A., &amp; Matthews, G. (1997). Implications of task-induced fatigue effects for in-vehicle countermeasures to driver fatigue. </w:t>
      </w:r>
      <w:r w:rsidRPr="00814F6F">
        <w:rPr>
          <w:i/>
        </w:rPr>
        <w:t>Accident Analysis &amp; Prevention</w:t>
      </w:r>
      <w:r w:rsidRPr="0084006C">
        <w:rPr>
          <w:i/>
        </w:rPr>
        <w:t>, 29</w:t>
      </w:r>
      <w:r w:rsidRPr="00814F6F">
        <w:t>(4), 515-523.</w:t>
      </w:r>
    </w:p>
    <w:p w:rsidR="006E2A27" w:rsidRDefault="006E2A27" w:rsidP="00544F9E">
      <w:pPr>
        <w:pStyle w:val="Reference"/>
      </w:pPr>
      <w:r w:rsidRPr="006E2A27">
        <w:t xml:space="preserve">Friedrichs, F., &amp; Yang, B. (2010). Camera-based drowsiness reference for driver state classification under real driving conditions. </w:t>
      </w:r>
      <w:r w:rsidR="00EA753F" w:rsidRPr="006648D6">
        <w:rPr>
          <w:i/>
        </w:rPr>
        <w:t>Proceedings of the IEEE Intelligent Vehicles Symposium</w:t>
      </w:r>
      <w:r w:rsidR="00EA753F">
        <w:t>, San Diego, California, 101-106.</w:t>
      </w:r>
    </w:p>
    <w:p w:rsidR="00544F9E" w:rsidRDefault="00544F9E" w:rsidP="00544F9E">
      <w:pPr>
        <w:pStyle w:val="Reference"/>
      </w:pPr>
      <w:r w:rsidRPr="00544F9E">
        <w:t xml:space="preserve">Hall, M., Frank, E., Holmes, G., Pfahringer, B., Reutemann, P., &amp; Witten, I. (2009). The WEKA data mining software: an update. </w:t>
      </w:r>
      <w:r w:rsidRPr="00544F9E">
        <w:rPr>
          <w:i/>
        </w:rPr>
        <w:t>ACM SIGKDD explorations newsletter</w:t>
      </w:r>
      <w:r w:rsidRPr="0084006C">
        <w:rPr>
          <w:i/>
        </w:rPr>
        <w:t>, 11</w:t>
      </w:r>
      <w:r w:rsidRPr="00544F9E">
        <w:t>(1), 10-18.</w:t>
      </w:r>
    </w:p>
    <w:p w:rsidR="0084006C" w:rsidRDefault="0084006C" w:rsidP="00544F9E">
      <w:pPr>
        <w:pStyle w:val="Reference"/>
      </w:pPr>
      <w:r w:rsidRPr="0084006C">
        <w:t xml:space="preserve">Hu, S., &amp; Zheng, G. (2009). Driver drowsiness detection with eyelid related parameters by Support Vector Machine. </w:t>
      </w:r>
      <w:r w:rsidRPr="0084006C">
        <w:rPr>
          <w:i/>
        </w:rPr>
        <w:t>Expert Systems with Applications, 36</w:t>
      </w:r>
      <w:r w:rsidRPr="0084006C">
        <w:t>(4), 7651-7658.</w:t>
      </w:r>
    </w:p>
    <w:p w:rsidR="0084006C" w:rsidRDefault="0084006C" w:rsidP="00544F9E">
      <w:pPr>
        <w:pStyle w:val="Reference"/>
      </w:pPr>
      <w:r w:rsidRPr="0084006C">
        <w:t xml:space="preserve">Igasaki, T., Nagasawa, K., Murayama, N., &amp; Hu, Z. (2015). Drowsiness estimation under driving environment by heart rate variability and/or breathing rate variability with logistic regression analysis. </w:t>
      </w:r>
      <w:r w:rsidRPr="0084006C">
        <w:rPr>
          <w:i/>
        </w:rPr>
        <w:t>Proceedings of the 8th IEEE International Conference on Biomedical Engineering and Informatics</w:t>
      </w:r>
      <w:r>
        <w:t xml:space="preserve">, </w:t>
      </w:r>
      <w:r w:rsidRPr="0084006C">
        <w:t>Shenyang, China</w:t>
      </w:r>
      <w:r>
        <w:t>,</w:t>
      </w:r>
      <w:r w:rsidRPr="0084006C">
        <w:t xml:space="preserve"> 189-193.</w:t>
      </w:r>
    </w:p>
    <w:p w:rsidR="00F10922" w:rsidRDefault="00F10922" w:rsidP="00544F9E">
      <w:pPr>
        <w:pStyle w:val="Reference"/>
      </w:pPr>
      <w:r w:rsidRPr="00F10922">
        <w:t xml:space="preserve">Lal, S. K., &amp; Craig, A. (2001). A critical review of the psychophysiology of driver fatigue. </w:t>
      </w:r>
      <w:r w:rsidRPr="00F10922">
        <w:rPr>
          <w:i/>
        </w:rPr>
        <w:t>Biological psychology</w:t>
      </w:r>
      <w:r w:rsidRPr="0084006C">
        <w:rPr>
          <w:i/>
        </w:rPr>
        <w:t>, 55</w:t>
      </w:r>
      <w:r w:rsidRPr="00F10922">
        <w:t>(3), 173-194.</w:t>
      </w:r>
    </w:p>
    <w:p w:rsidR="00A2151E" w:rsidRDefault="00A2151E" w:rsidP="00544F9E">
      <w:pPr>
        <w:pStyle w:val="Reference"/>
      </w:pPr>
      <w:r w:rsidRPr="00A2151E">
        <w:t xml:space="preserve">May, J. F., &amp; Baldwin, C. L. (2009). Driver fatigue: The importance of identifying causal factors of fatigue when considering detection and countermeasure technologies. </w:t>
      </w:r>
      <w:r w:rsidRPr="00A2151E">
        <w:rPr>
          <w:i/>
        </w:rPr>
        <w:t>Transportation Research Part F: Traffic Psychology and Behaviour</w:t>
      </w:r>
      <w:r w:rsidRPr="0084006C">
        <w:rPr>
          <w:i/>
        </w:rPr>
        <w:t>, 12</w:t>
      </w:r>
      <w:r w:rsidRPr="00A2151E">
        <w:t>(3), 218-224.</w:t>
      </w:r>
    </w:p>
    <w:p w:rsidR="0084006C" w:rsidRDefault="0084006C" w:rsidP="00544F9E">
      <w:pPr>
        <w:pStyle w:val="Reference"/>
      </w:pPr>
      <w:r w:rsidRPr="0084006C">
        <w:t xml:space="preserve">Patel, M., Lal, S. K. L., Kavanagh, D., &amp; Rossiter, P. (2011). Applying neural network analysis on heart rate variability data to assess driver fatigue. </w:t>
      </w:r>
      <w:r w:rsidRPr="0084006C">
        <w:rPr>
          <w:i/>
        </w:rPr>
        <w:t>Expert systems with Applications, 38</w:t>
      </w:r>
      <w:r w:rsidRPr="0084006C">
        <w:t>(6), 7235-7242.</w:t>
      </w:r>
    </w:p>
    <w:p w:rsidR="006648D6" w:rsidRDefault="006648D6" w:rsidP="00544F9E">
      <w:pPr>
        <w:pStyle w:val="Reference"/>
      </w:pPr>
      <w:r w:rsidRPr="006648D6">
        <w:t xml:space="preserve">Schmidt, E., Decke, R., &amp; Rasshofer, R. (2016). Correlation between subjective driver state measures and psychophysiological and vehicular data in simulated driving. </w:t>
      </w:r>
      <w:r w:rsidRPr="006648D6">
        <w:rPr>
          <w:i/>
        </w:rPr>
        <w:t>Proceedings of the IEEE Intelligent Vehicles Symposium</w:t>
      </w:r>
      <w:r>
        <w:t>, Gothenburg, Sweden,</w:t>
      </w:r>
      <w:r w:rsidRPr="006648D6">
        <w:t xml:space="preserve"> 1380-1385.</w:t>
      </w:r>
    </w:p>
    <w:p w:rsidR="00BF3AB4" w:rsidRDefault="00BF3AB4" w:rsidP="00544F9E">
      <w:pPr>
        <w:pStyle w:val="Reference"/>
      </w:pPr>
      <w:r>
        <w:t>V</w:t>
      </w:r>
      <w:r w:rsidRPr="00BF3AB4">
        <w:t>an Veen</w:t>
      </w:r>
      <w:r>
        <w:t>, S.</w:t>
      </w:r>
      <w:r w:rsidRPr="00BF3AB4">
        <w:t>, Vink</w:t>
      </w:r>
      <w:r>
        <w:t>, P.</w:t>
      </w:r>
      <w:r w:rsidRPr="00BF3AB4">
        <w:t>, Franz</w:t>
      </w:r>
      <w:r>
        <w:t>, M., &amp;</w:t>
      </w:r>
      <w:r w:rsidRPr="00BF3AB4">
        <w:t xml:space="preserve"> Wagner</w:t>
      </w:r>
      <w:r>
        <w:t xml:space="preserve">, P.-O. (2014). </w:t>
      </w:r>
      <w:r w:rsidR="00BB7304">
        <w:t>Enhancing the vigilance of car drivers: a review on fatigue caused by the driving task and possible c</w:t>
      </w:r>
      <w:r w:rsidRPr="00BF3AB4">
        <w:t>ountermeasures</w:t>
      </w:r>
      <w:r>
        <w:t xml:space="preserve">. </w:t>
      </w:r>
      <w:r w:rsidRPr="00BF3AB4">
        <w:rPr>
          <w:i/>
        </w:rPr>
        <w:t>Proceedings of the 5th International Conference on Applied Human Factors and Ergonomics</w:t>
      </w:r>
      <w:r w:rsidRPr="00BF3AB4">
        <w:t>, Kraków, Poland</w:t>
      </w:r>
      <w:r>
        <w:t xml:space="preserve">, </w:t>
      </w:r>
      <w:r w:rsidRPr="00BF3AB4">
        <w:t>516-525</w:t>
      </w:r>
      <w:r>
        <w:t>.</w:t>
      </w:r>
    </w:p>
    <w:p w:rsidR="000E12F9" w:rsidRPr="00C7020F" w:rsidRDefault="000E12F9" w:rsidP="00544F9E">
      <w:pPr>
        <w:pStyle w:val="Reference"/>
      </w:pPr>
      <w:r>
        <w:t>Van Veen, S. (2016). Driver Vitalization -</w:t>
      </w:r>
      <w:r w:rsidRPr="000E12F9">
        <w:t xml:space="preserve"> Investigating sensory stimulation to achiev</w:t>
      </w:r>
      <w:r>
        <w:t>e a positive driving experience. PhD thesis, TU Delft.</w:t>
      </w:r>
    </w:p>
    <w:sectPr w:rsidR="000E12F9" w:rsidRPr="00C7020F" w:rsidSect="000257A8">
      <w:footerReference w:type="even"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60D" w:rsidRDefault="005F660D">
      <w:r>
        <w:separator/>
      </w:r>
    </w:p>
  </w:endnote>
  <w:endnote w:type="continuationSeparator" w:id="0">
    <w:p w:rsidR="005F660D" w:rsidRDefault="005F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6C6" w:rsidRDefault="000476C6" w:rsidP="000257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76C6" w:rsidRDefault="00047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6C6" w:rsidRPr="00310BFF" w:rsidRDefault="000476C6" w:rsidP="000257A8">
    <w:pPr>
      <w:pStyle w:val="Footer"/>
      <w:tabs>
        <w:tab w:val="clear" w:pos="4320"/>
        <w:tab w:val="center" w:pos="4500"/>
      </w:tabs>
      <w:rPr>
        <w:rStyle w:val="PageNumber"/>
      </w:rPr>
    </w:pPr>
    <w:r w:rsidRPr="00310BFF">
      <w:rPr>
        <w:rStyle w:val="PageNumber"/>
      </w:rPr>
      <w:tab/>
    </w:r>
    <w:r w:rsidRPr="00310BFF">
      <w:rPr>
        <w:rStyle w:val="PageNumber"/>
      </w:rPr>
      <w:fldChar w:fldCharType="begin"/>
    </w:r>
    <w:r w:rsidRPr="00310BFF">
      <w:rPr>
        <w:rStyle w:val="PageNumber"/>
      </w:rPr>
      <w:instrText xml:space="preserve"> PAGE </w:instrText>
    </w:r>
    <w:r w:rsidRPr="00310BFF">
      <w:rPr>
        <w:rStyle w:val="PageNumber"/>
      </w:rPr>
      <w:fldChar w:fldCharType="separate"/>
    </w:r>
    <w:r w:rsidR="00473743">
      <w:rPr>
        <w:rStyle w:val="PageNumber"/>
        <w:noProof/>
      </w:rPr>
      <w:t>1</w:t>
    </w:r>
    <w:r w:rsidRPr="00310BF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60D" w:rsidRDefault="005F660D">
      <w:r>
        <w:separator/>
      </w:r>
    </w:p>
  </w:footnote>
  <w:footnote w:type="continuationSeparator" w:id="0">
    <w:p w:rsidR="005F660D" w:rsidRDefault="005F66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EF828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8F138E"/>
    <w:multiLevelType w:val="hybridMultilevel"/>
    <w:tmpl w:val="0504BDBC"/>
    <w:lvl w:ilvl="0" w:tplc="86F61DD0">
      <w:start w:val="1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7"/>
    <w:rsid w:val="000028AC"/>
    <w:rsid w:val="00003BA7"/>
    <w:rsid w:val="00010937"/>
    <w:rsid w:val="000257A8"/>
    <w:rsid w:val="00034CB3"/>
    <w:rsid w:val="0004093D"/>
    <w:rsid w:val="00044B64"/>
    <w:rsid w:val="000476C6"/>
    <w:rsid w:val="000525B2"/>
    <w:rsid w:val="000C1ED9"/>
    <w:rsid w:val="000C73D0"/>
    <w:rsid w:val="000E12F9"/>
    <w:rsid w:val="000E22BA"/>
    <w:rsid w:val="00100A78"/>
    <w:rsid w:val="00102F5C"/>
    <w:rsid w:val="00123240"/>
    <w:rsid w:val="00171D63"/>
    <w:rsid w:val="00171FD4"/>
    <w:rsid w:val="00181D90"/>
    <w:rsid w:val="00182FB6"/>
    <w:rsid w:val="0019505D"/>
    <w:rsid w:val="001A768D"/>
    <w:rsid w:val="001D787E"/>
    <w:rsid w:val="00210B79"/>
    <w:rsid w:val="00215DEE"/>
    <w:rsid w:val="0025799F"/>
    <w:rsid w:val="00257D1A"/>
    <w:rsid w:val="00283E38"/>
    <w:rsid w:val="002870CD"/>
    <w:rsid w:val="00287A80"/>
    <w:rsid w:val="002C6492"/>
    <w:rsid w:val="002D2FBE"/>
    <w:rsid w:val="002E45BD"/>
    <w:rsid w:val="00303DDF"/>
    <w:rsid w:val="003076A4"/>
    <w:rsid w:val="003247EF"/>
    <w:rsid w:val="00376C9B"/>
    <w:rsid w:val="00384FAE"/>
    <w:rsid w:val="003860A9"/>
    <w:rsid w:val="003B2106"/>
    <w:rsid w:val="003B245A"/>
    <w:rsid w:val="003D5299"/>
    <w:rsid w:val="003F45C1"/>
    <w:rsid w:val="003F5B09"/>
    <w:rsid w:val="00400C47"/>
    <w:rsid w:val="004010E2"/>
    <w:rsid w:val="004126A3"/>
    <w:rsid w:val="00413F7C"/>
    <w:rsid w:val="00423FED"/>
    <w:rsid w:val="004354C2"/>
    <w:rsid w:val="0044521E"/>
    <w:rsid w:val="004557B3"/>
    <w:rsid w:val="0045601C"/>
    <w:rsid w:val="00456D35"/>
    <w:rsid w:val="004610D3"/>
    <w:rsid w:val="00473743"/>
    <w:rsid w:val="004A36B5"/>
    <w:rsid w:val="004A6D5F"/>
    <w:rsid w:val="00500122"/>
    <w:rsid w:val="00512BDE"/>
    <w:rsid w:val="00543919"/>
    <w:rsid w:val="00544F9E"/>
    <w:rsid w:val="00565B81"/>
    <w:rsid w:val="00571F96"/>
    <w:rsid w:val="005A3404"/>
    <w:rsid w:val="005C3164"/>
    <w:rsid w:val="005E4228"/>
    <w:rsid w:val="005E7EFE"/>
    <w:rsid w:val="005F660D"/>
    <w:rsid w:val="00612C20"/>
    <w:rsid w:val="00616927"/>
    <w:rsid w:val="0063318F"/>
    <w:rsid w:val="006352B3"/>
    <w:rsid w:val="006517CA"/>
    <w:rsid w:val="00657364"/>
    <w:rsid w:val="006648D6"/>
    <w:rsid w:val="00695159"/>
    <w:rsid w:val="006B56EF"/>
    <w:rsid w:val="006B6557"/>
    <w:rsid w:val="006D1774"/>
    <w:rsid w:val="006E2A27"/>
    <w:rsid w:val="006E2C49"/>
    <w:rsid w:val="006F28A3"/>
    <w:rsid w:val="0072565F"/>
    <w:rsid w:val="00731AF7"/>
    <w:rsid w:val="00743B2A"/>
    <w:rsid w:val="00743F90"/>
    <w:rsid w:val="007466F6"/>
    <w:rsid w:val="00774BA4"/>
    <w:rsid w:val="007A2F79"/>
    <w:rsid w:val="007B3F64"/>
    <w:rsid w:val="007E7B8E"/>
    <w:rsid w:val="007F4C92"/>
    <w:rsid w:val="008014CF"/>
    <w:rsid w:val="00805417"/>
    <w:rsid w:val="00813D1B"/>
    <w:rsid w:val="00814F6F"/>
    <w:rsid w:val="0081728A"/>
    <w:rsid w:val="00834540"/>
    <w:rsid w:val="00835E2C"/>
    <w:rsid w:val="0084006C"/>
    <w:rsid w:val="00853DEF"/>
    <w:rsid w:val="00867B6C"/>
    <w:rsid w:val="00867CB8"/>
    <w:rsid w:val="00874887"/>
    <w:rsid w:val="0088084F"/>
    <w:rsid w:val="00890428"/>
    <w:rsid w:val="008A0EBC"/>
    <w:rsid w:val="008C17DA"/>
    <w:rsid w:val="008D02B2"/>
    <w:rsid w:val="008E5A08"/>
    <w:rsid w:val="008F0D33"/>
    <w:rsid w:val="008F2A04"/>
    <w:rsid w:val="00905590"/>
    <w:rsid w:val="00910606"/>
    <w:rsid w:val="009129B4"/>
    <w:rsid w:val="00914708"/>
    <w:rsid w:val="009206EE"/>
    <w:rsid w:val="00934F8D"/>
    <w:rsid w:val="009478FD"/>
    <w:rsid w:val="00967776"/>
    <w:rsid w:val="009776BA"/>
    <w:rsid w:val="00980F15"/>
    <w:rsid w:val="0098796F"/>
    <w:rsid w:val="0099642E"/>
    <w:rsid w:val="00996FAC"/>
    <w:rsid w:val="009A63AF"/>
    <w:rsid w:val="009B01E5"/>
    <w:rsid w:val="009B3782"/>
    <w:rsid w:val="009D1530"/>
    <w:rsid w:val="009F2B0A"/>
    <w:rsid w:val="00A05039"/>
    <w:rsid w:val="00A052FD"/>
    <w:rsid w:val="00A2151E"/>
    <w:rsid w:val="00A42E5A"/>
    <w:rsid w:val="00A53787"/>
    <w:rsid w:val="00A639BE"/>
    <w:rsid w:val="00A74CEB"/>
    <w:rsid w:val="00A7707B"/>
    <w:rsid w:val="00A94C20"/>
    <w:rsid w:val="00A974AA"/>
    <w:rsid w:val="00AA4620"/>
    <w:rsid w:val="00AE2110"/>
    <w:rsid w:val="00B036D4"/>
    <w:rsid w:val="00B55574"/>
    <w:rsid w:val="00B63DBA"/>
    <w:rsid w:val="00B822C0"/>
    <w:rsid w:val="00B8402E"/>
    <w:rsid w:val="00BB17BB"/>
    <w:rsid w:val="00BB7304"/>
    <w:rsid w:val="00BB7925"/>
    <w:rsid w:val="00BC2FA0"/>
    <w:rsid w:val="00BC3439"/>
    <w:rsid w:val="00BF02C4"/>
    <w:rsid w:val="00BF2111"/>
    <w:rsid w:val="00BF2B9F"/>
    <w:rsid w:val="00BF3AB4"/>
    <w:rsid w:val="00BF47CE"/>
    <w:rsid w:val="00C44035"/>
    <w:rsid w:val="00C44985"/>
    <w:rsid w:val="00C53F00"/>
    <w:rsid w:val="00C721DB"/>
    <w:rsid w:val="00C76006"/>
    <w:rsid w:val="00C84AFE"/>
    <w:rsid w:val="00C87BEB"/>
    <w:rsid w:val="00CB1625"/>
    <w:rsid w:val="00CC26A7"/>
    <w:rsid w:val="00CC38B1"/>
    <w:rsid w:val="00CF6E8C"/>
    <w:rsid w:val="00D05D2D"/>
    <w:rsid w:val="00D05E48"/>
    <w:rsid w:val="00D6657C"/>
    <w:rsid w:val="00D8139C"/>
    <w:rsid w:val="00D937E8"/>
    <w:rsid w:val="00D96A42"/>
    <w:rsid w:val="00DC05A5"/>
    <w:rsid w:val="00DC442B"/>
    <w:rsid w:val="00DD080D"/>
    <w:rsid w:val="00DF1389"/>
    <w:rsid w:val="00E2195D"/>
    <w:rsid w:val="00E34B32"/>
    <w:rsid w:val="00E4664B"/>
    <w:rsid w:val="00E545B8"/>
    <w:rsid w:val="00E57580"/>
    <w:rsid w:val="00E6267D"/>
    <w:rsid w:val="00E626C8"/>
    <w:rsid w:val="00E722E6"/>
    <w:rsid w:val="00E737B8"/>
    <w:rsid w:val="00E76216"/>
    <w:rsid w:val="00E800B2"/>
    <w:rsid w:val="00E85963"/>
    <w:rsid w:val="00EA753F"/>
    <w:rsid w:val="00ED7259"/>
    <w:rsid w:val="00EE59C7"/>
    <w:rsid w:val="00EE6C9C"/>
    <w:rsid w:val="00EF567A"/>
    <w:rsid w:val="00F02DBF"/>
    <w:rsid w:val="00F065E6"/>
    <w:rsid w:val="00F107CB"/>
    <w:rsid w:val="00F10922"/>
    <w:rsid w:val="00F37258"/>
    <w:rsid w:val="00F73B46"/>
    <w:rsid w:val="00FC702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5:chartTrackingRefBased/>
  <w15:docId w15:val="{4898839F-6043-49F4-AB7D-D7B912019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0B6603"/>
    <w:rPr>
      <w:rFonts w:ascii="Times New Roman" w:hAnsi="Times New Roman"/>
      <w:sz w:val="24"/>
      <w:lang w:val="en-US" w:eastAsia="en-US"/>
    </w:rPr>
  </w:style>
  <w:style w:type="paragraph" w:styleId="Heading1">
    <w:name w:val="heading 1"/>
    <w:basedOn w:val="Normal"/>
    <w:next w:val="Normal"/>
    <w:link w:val="Heading1Char"/>
    <w:qFormat/>
    <w:rsid w:val="00310BFF"/>
    <w:pPr>
      <w:keepNext/>
      <w:outlineLvl w:val="0"/>
    </w:pPr>
    <w:rPr>
      <w:b/>
      <w:caps/>
      <w:kern w:val="32"/>
      <w:szCs w:val="32"/>
    </w:rPr>
  </w:style>
  <w:style w:type="paragraph" w:styleId="Heading2">
    <w:name w:val="heading 2"/>
    <w:basedOn w:val="Normal"/>
    <w:next w:val="Normal"/>
    <w:link w:val="Heading2Char"/>
    <w:qFormat/>
    <w:rsid w:val="00310BFF"/>
    <w:pPr>
      <w:keepNext/>
      <w:outlineLvl w:val="1"/>
    </w:pPr>
    <w:rPr>
      <w:b/>
      <w:szCs w:val="28"/>
    </w:rPr>
  </w:style>
  <w:style w:type="paragraph" w:styleId="Heading3">
    <w:name w:val="heading 3"/>
    <w:basedOn w:val="Normal"/>
    <w:next w:val="Normal"/>
    <w:link w:val="Heading3Char"/>
    <w:qFormat/>
    <w:rsid w:val="000B6603"/>
    <w:pPr>
      <w:keepNext/>
      <w:outlineLvl w:val="2"/>
    </w:pPr>
    <w:rPr>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26A7"/>
    <w:rPr>
      <w:rFonts w:ascii="Lucida Grande" w:hAnsi="Lucida Grande"/>
      <w:sz w:val="18"/>
      <w:szCs w:val="18"/>
    </w:rPr>
  </w:style>
  <w:style w:type="paragraph" w:styleId="Footer">
    <w:name w:val="footer"/>
    <w:basedOn w:val="Normal"/>
    <w:semiHidden/>
    <w:rsid w:val="00310BFF"/>
    <w:pPr>
      <w:tabs>
        <w:tab w:val="center" w:pos="4320"/>
        <w:tab w:val="right" w:pos="8640"/>
      </w:tabs>
    </w:pPr>
  </w:style>
  <w:style w:type="character" w:styleId="PageNumber">
    <w:name w:val="page number"/>
    <w:rsid w:val="00310BFF"/>
    <w:rPr>
      <w:rFonts w:ascii="Times New Roman" w:hAnsi="Times New Roman"/>
      <w:sz w:val="20"/>
    </w:rPr>
  </w:style>
  <w:style w:type="paragraph" w:styleId="Header">
    <w:name w:val="header"/>
    <w:basedOn w:val="Normal"/>
    <w:rsid w:val="00310BFF"/>
    <w:pPr>
      <w:tabs>
        <w:tab w:val="center" w:pos="4320"/>
        <w:tab w:val="right" w:pos="8640"/>
      </w:tabs>
    </w:pPr>
  </w:style>
  <w:style w:type="character" w:styleId="Hyperlink">
    <w:name w:val="Hyperlink"/>
    <w:rsid w:val="00C7020F"/>
    <w:rPr>
      <w:color w:val="0000FF"/>
      <w:u w:val="single"/>
    </w:rPr>
  </w:style>
  <w:style w:type="paragraph" w:styleId="Title">
    <w:name w:val="Title"/>
    <w:basedOn w:val="Normal"/>
    <w:qFormat/>
    <w:rsid w:val="00310BFF"/>
    <w:pPr>
      <w:spacing w:after="240"/>
      <w:jc w:val="center"/>
      <w:outlineLvl w:val="0"/>
    </w:pPr>
    <w:rPr>
      <w:b/>
      <w:i/>
      <w:caps/>
      <w:kern w:val="28"/>
      <w:szCs w:val="32"/>
    </w:rPr>
  </w:style>
  <w:style w:type="character" w:customStyle="1" w:styleId="Heading1Char">
    <w:name w:val="Heading 1 Char"/>
    <w:link w:val="Heading1"/>
    <w:rsid w:val="00043076"/>
    <w:rPr>
      <w:rFonts w:ascii="Times New Roman" w:hAnsi="Times New Roman"/>
      <w:b/>
      <w:caps/>
      <w:kern w:val="32"/>
      <w:sz w:val="24"/>
      <w:szCs w:val="32"/>
    </w:rPr>
  </w:style>
  <w:style w:type="paragraph" w:customStyle="1" w:styleId="Reference">
    <w:name w:val="Reference"/>
    <w:basedOn w:val="Normal"/>
    <w:rsid w:val="00200F91"/>
    <w:pPr>
      <w:spacing w:after="120"/>
      <w:ind w:left="360" w:hanging="360"/>
    </w:pPr>
  </w:style>
  <w:style w:type="character" w:customStyle="1" w:styleId="Heading2Char">
    <w:name w:val="Heading 2 Char"/>
    <w:link w:val="Heading2"/>
    <w:rsid w:val="00043076"/>
    <w:rPr>
      <w:rFonts w:ascii="Times New Roman" w:hAnsi="Times New Roman"/>
      <w:b/>
      <w:sz w:val="24"/>
      <w:szCs w:val="28"/>
    </w:rPr>
  </w:style>
  <w:style w:type="character" w:customStyle="1" w:styleId="Heading3Char">
    <w:name w:val="Heading 3 Char"/>
    <w:link w:val="Heading3"/>
    <w:rsid w:val="00043076"/>
    <w:rPr>
      <w:rFonts w:ascii="Times New Roman" w:hAnsi="Times New Roman"/>
      <w:i/>
      <w:sz w:val="24"/>
      <w:szCs w:val="26"/>
    </w:rPr>
  </w:style>
  <w:style w:type="paragraph" w:customStyle="1" w:styleId="FigureCaptionAATT2008">
    <w:name w:val="Figure Caption AATT 2008"/>
    <w:basedOn w:val="Normal"/>
    <w:link w:val="FigureCaptionAATT2008Char"/>
    <w:qFormat/>
    <w:rsid w:val="00043076"/>
    <w:pPr>
      <w:keepNext/>
      <w:keepLines/>
      <w:jc w:val="center"/>
    </w:pPr>
    <w:rPr>
      <w:szCs w:val="24"/>
      <w:lang w:val="en-GB" w:eastAsia="el-GR"/>
    </w:rPr>
  </w:style>
  <w:style w:type="character" w:customStyle="1" w:styleId="FigureCaptionAATT2008Char">
    <w:name w:val="Figure Caption AATT 2008 Char"/>
    <w:link w:val="FigureCaptionAATT2008"/>
    <w:rsid w:val="00043076"/>
    <w:rPr>
      <w:rFonts w:ascii="Times New Roman" w:hAnsi="Times New Roman"/>
      <w:sz w:val="24"/>
      <w:szCs w:val="24"/>
      <w:lang w:val="en-GB" w:eastAsia="el-GR"/>
    </w:rPr>
  </w:style>
  <w:style w:type="table" w:styleId="TableGrid">
    <w:name w:val="Table Grid"/>
    <w:basedOn w:val="TableNormal"/>
    <w:uiPriority w:val="39"/>
    <w:rsid w:val="00CC51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C1ED9"/>
    <w:pPr>
      <w:spacing w:after="160" w:line="259" w:lineRule="auto"/>
      <w:ind w:left="720"/>
      <w:contextualSpacing/>
    </w:pPr>
    <w:rPr>
      <w:rFonts w:asciiTheme="minorHAnsi" w:eastAsiaTheme="minorHAnsi" w:hAnsiTheme="minorHAnsi" w:cstheme="minorBidi"/>
      <w:sz w:val="22"/>
      <w:szCs w:val="22"/>
      <w:lang w:val="de-DE"/>
    </w:rPr>
  </w:style>
  <w:style w:type="table" w:styleId="PlainTable2">
    <w:name w:val="Plain Table 2"/>
    <w:basedOn w:val="TableNormal"/>
    <w:uiPriority w:val="42"/>
    <w:rsid w:val="0087488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unhideWhenUsed/>
    <w:rsid w:val="00867CB8"/>
    <w:rPr>
      <w:color w:val="808080"/>
    </w:rPr>
  </w:style>
  <w:style w:type="paragraph" w:styleId="Caption">
    <w:name w:val="caption"/>
    <w:basedOn w:val="Normal"/>
    <w:next w:val="Normal"/>
    <w:uiPriority w:val="35"/>
    <w:unhideWhenUsed/>
    <w:qFormat/>
    <w:rsid w:val="007E7B8E"/>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4F054-890D-4060-9DA4-53A701AF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2833</Words>
  <Characters>16329</Characters>
  <Application>Microsoft Office Word</Application>
  <DocSecurity>0</DocSecurity>
  <Lines>136</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PAPER PREPARATION GUIDELINES</vt:lpstr>
      <vt:lpstr>PAPER PREPARATION GUIDELINES</vt:lpstr>
    </vt:vector>
  </TitlesOfParts>
  <Company>UNIV OF IOWA 574645</Company>
  <LinksUpToDate>false</LinksUpToDate>
  <CharactersWithSpaces>19124</CharactersWithSpaces>
  <SharedDoc>false</SharedDoc>
  <HLinks>
    <vt:vector size="6" baseType="variant">
      <vt:variant>
        <vt:i4>7405599</vt:i4>
      </vt:variant>
      <vt:variant>
        <vt:i4>6</vt:i4>
      </vt:variant>
      <vt:variant>
        <vt:i4>0</vt:i4>
      </vt:variant>
      <vt:variant>
        <vt:i4>5</vt:i4>
      </vt:variant>
      <vt:variant>
        <vt:lpwstr>mailto:kathy-holeton@uiowa.edu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PREPARATION GUIDELINES</dc:title>
  <dc:subject/>
  <dc:creator>Teresa Lopes</dc:creator>
  <cp:keywords/>
  <cp:lastModifiedBy>Holeton, Kathy M</cp:lastModifiedBy>
  <cp:revision>2</cp:revision>
  <cp:lastPrinted>2013-02-21T13:33:00Z</cp:lastPrinted>
  <dcterms:created xsi:type="dcterms:W3CDTF">2018-08-31T02:49:00Z</dcterms:created>
  <dcterms:modified xsi:type="dcterms:W3CDTF">2018-08-31T02:49:00Z</dcterms:modified>
</cp:coreProperties>
</file>